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18CF19" w14:textId="794BB79B" w:rsidR="004C48D0" w:rsidRPr="00AF5379" w:rsidRDefault="00A304BF">
      <w:pPr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  <w:lang w:val="it-IT"/>
        </w:rPr>
      </w:pPr>
      <w:r w:rsidRPr="00AF5379">
        <w:rPr>
          <w:rFonts w:ascii="Verdana" w:hAnsi="Verdana"/>
          <w:b/>
          <w:bCs/>
          <w:color w:val="404040"/>
          <w:sz w:val="30"/>
          <w:szCs w:val="30"/>
          <w:u w:val="single"/>
          <w:lang w:val="it-IT"/>
        </w:rPr>
        <w:t>Comunicato stampa</w:t>
      </w:r>
    </w:p>
    <w:p w14:paraId="0C69B5D1" w14:textId="77777777" w:rsidR="00270FCD" w:rsidRPr="00AF5379" w:rsidRDefault="00270FCD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  <w:lang w:val="it-IT"/>
        </w:rPr>
      </w:pPr>
    </w:p>
    <w:p w14:paraId="44BB3312" w14:textId="08FF2ACD" w:rsidR="004C48D0" w:rsidRPr="00AF5379" w:rsidRDefault="001A77BF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  <w:lang w:val="it-IT"/>
        </w:rPr>
      </w:pPr>
      <w:proofErr w:type="spellStart"/>
      <w:r w:rsidRPr="00AF5379">
        <w:rPr>
          <w:rFonts w:ascii="Verdana" w:eastAsia="Verdana" w:hAnsi="Verdana" w:cs="Verdana"/>
          <w:color w:val="404040"/>
          <w:u w:val="single"/>
          <w:lang w:val="it-IT"/>
        </w:rPr>
        <w:t>App</w:t>
      </w:r>
      <w:proofErr w:type="spellEnd"/>
      <w:r w:rsidRPr="00AF5379">
        <w:rPr>
          <w:rFonts w:ascii="Verdana" w:eastAsia="Verdana" w:hAnsi="Verdana" w:cs="Verdana"/>
          <w:color w:val="404040"/>
          <w:u w:val="single"/>
          <w:lang w:val="it-IT"/>
        </w:rPr>
        <w:t xml:space="preserve"> MI </w:t>
      </w:r>
      <w:proofErr w:type="spellStart"/>
      <w:r w:rsidRPr="00AF5379">
        <w:rPr>
          <w:rFonts w:ascii="Verdana" w:eastAsia="Verdana" w:hAnsi="Verdana" w:cs="Verdana"/>
          <w:color w:val="404040"/>
          <w:u w:val="single"/>
          <w:lang w:val="it-IT"/>
        </w:rPr>
        <w:t>Dentistry</w:t>
      </w:r>
      <w:proofErr w:type="spellEnd"/>
      <w:r w:rsidRPr="00AF5379">
        <w:rPr>
          <w:rFonts w:ascii="Verdana" w:eastAsia="Verdana" w:hAnsi="Verdana" w:cs="Verdana"/>
          <w:color w:val="404040"/>
          <w:u w:val="single"/>
          <w:lang w:val="it-IT"/>
        </w:rPr>
        <w:t xml:space="preserve"> CRA sponsorizzata da GC</w:t>
      </w:r>
    </w:p>
    <w:p w14:paraId="4CB4B907" w14:textId="77777777" w:rsidR="00270FCD" w:rsidRPr="00AF5379" w:rsidRDefault="00270FCD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</w:pPr>
    </w:p>
    <w:p w14:paraId="5CA31B78" w14:textId="327FAD4E" w:rsidR="004C48D0" w:rsidRPr="00AF5379" w:rsidRDefault="001A77BF">
      <w:pPr>
        <w:spacing w:line="360" w:lineRule="auto"/>
        <w:jc w:val="both"/>
        <w:rPr>
          <w:rFonts w:ascii="Verdana" w:eastAsia="Verdana" w:hAnsi="Verdana" w:cs="Verdana"/>
          <w:b/>
          <w:bCs/>
          <w:color w:val="404040"/>
          <w:sz w:val="28"/>
          <w:szCs w:val="28"/>
          <w:u w:color="404040"/>
          <w:lang w:val="it-IT"/>
        </w:rPr>
      </w:pPr>
      <w:r w:rsidRPr="00AF5379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 xml:space="preserve">Nuova applicazione per dispositivi mobili di facile utilizzo per la valutazione del rischio di carie </w:t>
      </w:r>
    </w:p>
    <w:p w14:paraId="7861B3F1" w14:textId="77777777" w:rsidR="004C48D0" w:rsidRPr="00AF5379" w:rsidRDefault="004C48D0">
      <w:pPr>
        <w:pStyle w:val="Nessunaspaziatura"/>
        <w:spacing w:line="360" w:lineRule="auto"/>
        <w:jc w:val="both"/>
        <w:rPr>
          <w:rFonts w:ascii="Verdana" w:eastAsia="Verdana" w:hAnsi="Verdana" w:cs="Verdana"/>
          <w:b/>
          <w:bCs/>
          <w:color w:val="404040"/>
          <w:u w:color="404040"/>
          <w:lang w:val="it-IT"/>
        </w:rPr>
      </w:pPr>
    </w:p>
    <w:p w14:paraId="242EAB90" w14:textId="74913251" w:rsidR="00DA04CE" w:rsidRPr="00AF5379" w:rsidRDefault="00562B32" w:rsidP="00DA04CE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</w:pPr>
      <w:r w:rsidRPr="00AF5379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 xml:space="preserve">Benché i dentisti siano consapevoli dell’importanza della prevenzione e </w:t>
      </w:r>
      <w:r w:rsidR="00AF5379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 xml:space="preserve">della minimum </w:t>
      </w:r>
      <w:proofErr w:type="spellStart"/>
      <w:r w:rsidR="00AF5379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>intervention</w:t>
      </w:r>
      <w:proofErr w:type="spellEnd"/>
      <w:r w:rsidRPr="00AF5379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 xml:space="preserve"> (MI) nell’igiene orale, molti fanno ancora fatica a integrare questo concetto nella propria routine quotidiana.  Nel 2008 GC Europe ha fondato un comitato consultivo sul</w:t>
      </w:r>
      <w:r w:rsidR="00AF5379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>la</w:t>
      </w:r>
      <w:r w:rsidRPr="00AF5379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 xml:space="preserve"> MI, composto da specialisti dedicati all’approccio odontoiatrico MI, al fine di promuovere iniziative </w:t>
      </w:r>
      <w:r w:rsidR="00AF5379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 xml:space="preserve">basate su evidenze. </w:t>
      </w:r>
      <w:r w:rsidRPr="00AF5379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 xml:space="preserve">Nel 2017 è stato pubblicato il Manuale di odontoiatria MI (MI </w:t>
      </w:r>
      <w:proofErr w:type="spellStart"/>
      <w:r w:rsidRPr="00AF5379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>Dentistry</w:t>
      </w:r>
      <w:proofErr w:type="spellEnd"/>
      <w:r w:rsidRPr="00AF5379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 xml:space="preserve"> </w:t>
      </w:r>
      <w:proofErr w:type="spellStart"/>
      <w:r w:rsidRPr="00AF5379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>Handbook</w:t>
      </w:r>
      <w:proofErr w:type="spellEnd"/>
      <w:r w:rsidRPr="00AF5379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 xml:space="preserve">), che raccoglie conoscenze all’avanguardia </w:t>
      </w:r>
      <w:r w:rsidR="00AF5379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 xml:space="preserve">sulla </w:t>
      </w:r>
      <w:r w:rsidR="00AF5379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 xml:space="preserve">minimum </w:t>
      </w:r>
      <w:proofErr w:type="spellStart"/>
      <w:r w:rsidR="00AF5379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>intervention</w:t>
      </w:r>
      <w:proofErr w:type="spellEnd"/>
      <w:r w:rsidR="00AF5379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 xml:space="preserve"> come </w:t>
      </w:r>
      <w:r w:rsidRPr="00AF5379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>concetti di trattamento semplici, adattati a tutti i gruppi di età. Sulla base di questo manuale è stata creata un’applicazione multipiattaforma gratuita per dispositivi mobili per la valutazione del rischio di carie: l’</w:t>
      </w:r>
      <w:proofErr w:type="spellStart"/>
      <w:r w:rsidRPr="00AF5379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>app</w:t>
      </w:r>
      <w:proofErr w:type="spellEnd"/>
      <w:r w:rsidRPr="00AF5379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 xml:space="preserve"> MI </w:t>
      </w:r>
      <w:proofErr w:type="spellStart"/>
      <w:r w:rsidRPr="00AF5379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>Dentistry</w:t>
      </w:r>
      <w:proofErr w:type="spellEnd"/>
      <w:r w:rsidRPr="00AF5379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 xml:space="preserve"> CRA.  Questa </w:t>
      </w:r>
      <w:proofErr w:type="spellStart"/>
      <w:r w:rsidRPr="00AF5379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>app</w:t>
      </w:r>
      <w:proofErr w:type="spellEnd"/>
      <w:r w:rsidRPr="00AF5379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 xml:space="preserve"> supporta l’odontoiatra nell’individuazione del rischio di carie e facilita la comunicazione con il paziente riguardo alle opzioni di trattamento per gestirlo.  </w:t>
      </w:r>
    </w:p>
    <w:p w14:paraId="0912FA47" w14:textId="77777777" w:rsidR="0008245E" w:rsidRPr="00AF5379" w:rsidRDefault="0008245E" w:rsidP="00AA0A27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it-IT"/>
        </w:rPr>
      </w:pPr>
    </w:p>
    <w:p w14:paraId="5CD78105" w14:textId="188C0455" w:rsidR="007E6F1B" w:rsidRPr="00AF5379" w:rsidRDefault="005F600C" w:rsidP="00DA04CE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it-IT"/>
        </w:rPr>
      </w:pPr>
      <w:r w:rsidRPr="00AF5379">
        <w:rPr>
          <w:rFonts w:ascii="Verdana" w:hAnsi="Verdana"/>
          <w:color w:val="404040"/>
          <w:sz w:val="22"/>
          <w:szCs w:val="22"/>
          <w:u w:color="404040"/>
          <w:lang w:val="it-IT"/>
        </w:rPr>
        <w:t>L’</w:t>
      </w:r>
      <w:proofErr w:type="spellStart"/>
      <w:r w:rsidRPr="00AF5379">
        <w:rPr>
          <w:rFonts w:ascii="Verdana" w:hAnsi="Verdana"/>
          <w:color w:val="404040"/>
          <w:sz w:val="22"/>
          <w:szCs w:val="22"/>
          <w:u w:color="404040"/>
          <w:lang w:val="it-IT"/>
        </w:rPr>
        <w:t>app</w:t>
      </w:r>
      <w:proofErr w:type="spellEnd"/>
      <w:r w:rsidRPr="00AF5379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 è basata sul Manuale di odontoiatria MI, che per anni è stato al centro di intense discussioni tra docenti e professionisti circa le possibilità di successo delle cure dentistiche a intervento minimo negli studi odontoiatrici moderni. Questo manuale offre ai dentisti solide e chiare linee guida relative ai trattamenti e alla pianificazione MI, che dipendono dalla suscettibilità alla carie del paziente. </w:t>
      </w:r>
    </w:p>
    <w:p w14:paraId="4961D919" w14:textId="2608CDE2" w:rsidR="0008245E" w:rsidRPr="00AF5379" w:rsidRDefault="00E74AA0" w:rsidP="00DA04CE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it-IT"/>
        </w:rPr>
      </w:pPr>
      <w:r w:rsidRPr="00AF5379">
        <w:rPr>
          <w:rFonts w:ascii="Verdana" w:hAnsi="Verdana"/>
          <w:color w:val="404040"/>
          <w:sz w:val="22"/>
          <w:szCs w:val="22"/>
          <w:u w:color="404040"/>
          <w:lang w:val="it-IT"/>
        </w:rPr>
        <w:lastRenderedPageBreak/>
        <w:t>L’</w:t>
      </w:r>
      <w:proofErr w:type="spellStart"/>
      <w:r w:rsidRPr="00AF5379">
        <w:rPr>
          <w:rFonts w:ascii="Verdana" w:hAnsi="Verdana"/>
          <w:color w:val="404040"/>
          <w:sz w:val="22"/>
          <w:szCs w:val="22"/>
          <w:u w:color="404040"/>
          <w:lang w:val="it-IT"/>
        </w:rPr>
        <w:t>app</w:t>
      </w:r>
      <w:proofErr w:type="spellEnd"/>
      <w:r w:rsidRPr="00AF5379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 si concentra sulla valutazione della suscettibilità alla carie individuata in modo semplice e rapido e distingue i pazienti per fasce di età e di rischio, con fattori di screening personalizzati. Vengono valutati fattori protettivi, fattori specifici del paziente ed esiti clinici. Il rischio di carie viene stimato sulla base di questi risultati ed è possibile generare un referto in formato PDF per il follow-up e la comunicazione con il paziente. L’</w:t>
      </w:r>
      <w:proofErr w:type="spellStart"/>
      <w:r w:rsidRPr="00AF5379">
        <w:rPr>
          <w:rFonts w:ascii="Verdana" w:hAnsi="Verdana"/>
          <w:color w:val="404040"/>
          <w:sz w:val="22"/>
          <w:szCs w:val="22"/>
          <w:u w:color="404040"/>
          <w:lang w:val="it-IT"/>
        </w:rPr>
        <w:t>app</w:t>
      </w:r>
      <w:proofErr w:type="spellEnd"/>
      <w:r w:rsidRPr="00AF5379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 segue il flusso logico di un consulto, iniziando con i fattori extra-orali e continuando con quelli intra-orali. Per ogni voce vengono fornite spiegazioni specifiche e didattiche, basate prevalentemente su immagini per una maggiore semplicità d’uso. I risultati sono semplici da spiegare, chiari e con sole 2 opzioni associate a ciascun fattore: rischio basso o alto.  L’</w:t>
      </w:r>
      <w:proofErr w:type="spellStart"/>
      <w:r w:rsidRPr="00AF5379">
        <w:rPr>
          <w:rFonts w:ascii="Verdana" w:hAnsi="Verdana"/>
          <w:color w:val="404040"/>
          <w:sz w:val="22"/>
          <w:szCs w:val="22"/>
          <w:u w:color="404040"/>
          <w:lang w:val="it-IT"/>
        </w:rPr>
        <w:t>app</w:t>
      </w:r>
      <w:proofErr w:type="spellEnd"/>
      <w:r w:rsidRPr="00AF5379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 garantisce inoltre una completa riservatezza, poiché l’utente può decidere se salvare o meno le informazioni in formato PDF nella cartella del paziente. </w:t>
      </w:r>
    </w:p>
    <w:p w14:paraId="02B03A54" w14:textId="3B565FF4" w:rsidR="00DA04CE" w:rsidRPr="00AF5379" w:rsidRDefault="00A10F67" w:rsidP="00DA04CE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it-IT"/>
        </w:rPr>
      </w:pPr>
      <w:r w:rsidRPr="00AF5379">
        <w:rPr>
          <w:rFonts w:ascii="Verdana" w:hAnsi="Verdana"/>
          <w:color w:val="404040"/>
          <w:sz w:val="22"/>
          <w:szCs w:val="22"/>
          <w:u w:color="404040"/>
          <w:lang w:val="it-IT"/>
        </w:rPr>
        <w:t>Anche l’intero Manuale di odontoiatria MI è consultabile tramite l’</w:t>
      </w:r>
      <w:proofErr w:type="spellStart"/>
      <w:r w:rsidRPr="00AF5379">
        <w:rPr>
          <w:rFonts w:ascii="Verdana" w:hAnsi="Verdana"/>
          <w:color w:val="404040"/>
          <w:sz w:val="22"/>
          <w:szCs w:val="22"/>
          <w:u w:color="404040"/>
          <w:lang w:val="it-IT"/>
        </w:rPr>
        <w:t>app</w:t>
      </w:r>
      <w:proofErr w:type="spellEnd"/>
      <w:r w:rsidRPr="00AF5379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, fornendo un’ulteriore guida per il dentista nella scelta delle diverse opzioni di trattamento adattate al rischio di carie del paziente. </w:t>
      </w:r>
    </w:p>
    <w:p w14:paraId="3FA425F0" w14:textId="17504673" w:rsidR="00562B32" w:rsidRPr="00AF5379" w:rsidRDefault="00562B32" w:rsidP="00DA04CE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it-IT"/>
        </w:rPr>
      </w:pPr>
    </w:p>
    <w:p w14:paraId="7DAB7095" w14:textId="77777777" w:rsidR="00562B32" w:rsidRPr="00AF5379" w:rsidRDefault="00562B32" w:rsidP="00DA04CE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</w:pPr>
    </w:p>
    <w:p w14:paraId="7D06B060" w14:textId="15C9DA56" w:rsidR="00A10F67" w:rsidRPr="00AF5379" w:rsidRDefault="00562B32" w:rsidP="00DA04CE">
      <w:pPr>
        <w:spacing w:line="360" w:lineRule="auto"/>
        <w:jc w:val="both"/>
        <w:rPr>
          <w:rStyle w:val="Collegamentoipertestuale"/>
          <w:rFonts w:ascii="Verdana" w:eastAsia="Verdana" w:hAnsi="Verdana" w:cs="Verdana"/>
          <w:spacing w:val="5"/>
          <w:kern w:val="28"/>
          <w:sz w:val="22"/>
          <w:szCs w:val="22"/>
          <w:u w:val="none"/>
          <w:lang w:val="it-IT"/>
        </w:rPr>
      </w:pPr>
      <w:r w:rsidRPr="00AF5379">
        <w:rPr>
          <w:rFonts w:ascii="Verdana" w:eastAsia="Verdana" w:hAnsi="Verdana" w:cs="Verdana"/>
          <w:color w:val="404040"/>
          <w:kern w:val="28"/>
          <w:sz w:val="22"/>
          <w:szCs w:val="22"/>
          <w:u w:color="404040"/>
          <w:lang w:val="it-IT"/>
        </w:rPr>
        <w:t>Per maggiori informazioni e per scaricare l’</w:t>
      </w:r>
      <w:proofErr w:type="spellStart"/>
      <w:r w:rsidRPr="00AF5379">
        <w:rPr>
          <w:rFonts w:ascii="Verdana" w:eastAsia="Verdana" w:hAnsi="Verdana" w:cs="Verdana"/>
          <w:color w:val="404040"/>
          <w:kern w:val="28"/>
          <w:sz w:val="22"/>
          <w:szCs w:val="22"/>
          <w:u w:color="404040"/>
          <w:lang w:val="it-IT"/>
        </w:rPr>
        <w:t>app</w:t>
      </w:r>
      <w:proofErr w:type="spellEnd"/>
      <w:r w:rsidRPr="00AF5379">
        <w:rPr>
          <w:rFonts w:ascii="Verdana" w:eastAsia="Verdana" w:hAnsi="Verdana" w:cs="Verdana"/>
          <w:color w:val="404040"/>
          <w:kern w:val="28"/>
          <w:sz w:val="22"/>
          <w:szCs w:val="22"/>
          <w:u w:color="404040"/>
          <w:lang w:val="it-IT"/>
        </w:rPr>
        <w:t xml:space="preserve">, visita il sito web: </w:t>
      </w:r>
      <w:hyperlink r:id="rId8" w:history="1">
        <w:r w:rsidRPr="00AF5379">
          <w:rPr>
            <w:rStyle w:val="Collegamentoipertestuale"/>
            <w:rFonts w:ascii="Verdana" w:eastAsia="Verdana" w:hAnsi="Verdana" w:cs="Verdana"/>
            <w:kern w:val="28"/>
            <w:sz w:val="22"/>
            <w:szCs w:val="22"/>
            <w:lang w:val="it-IT"/>
          </w:rPr>
          <w:t>https://midentistry.app/</w:t>
        </w:r>
      </w:hyperlink>
    </w:p>
    <w:p w14:paraId="30AD195B" w14:textId="21EB6455" w:rsidR="00DA04CE" w:rsidRPr="00AF5379" w:rsidRDefault="00A10F67" w:rsidP="00DA04CE">
      <w:pPr>
        <w:spacing w:line="360" w:lineRule="auto"/>
        <w:jc w:val="both"/>
        <w:rPr>
          <w:rFonts w:ascii="Verdana" w:eastAsia="Verdana" w:hAnsi="Verdana" w:cs="Verdana"/>
          <w:color w:val="404040"/>
          <w:spacing w:val="5"/>
          <w:kern w:val="28"/>
          <w:sz w:val="22"/>
          <w:szCs w:val="22"/>
          <w:lang w:val="it-IT"/>
        </w:rPr>
      </w:pPr>
      <w:r w:rsidRPr="00AF5379">
        <w:rPr>
          <w:rStyle w:val="Collegamentoipertestuale"/>
          <w:rFonts w:ascii="Verdana" w:eastAsia="Verdana" w:hAnsi="Verdana" w:cs="Verdana"/>
          <w:kern w:val="28"/>
          <w:sz w:val="22"/>
          <w:szCs w:val="22"/>
          <w:u w:val="none"/>
          <w:lang w:val="it-IT"/>
        </w:rPr>
        <w:t xml:space="preserve">Disponibile per Apple e </w:t>
      </w:r>
      <w:proofErr w:type="spellStart"/>
      <w:r w:rsidRPr="00AF5379">
        <w:rPr>
          <w:rStyle w:val="Collegamentoipertestuale"/>
          <w:rFonts w:ascii="Verdana" w:eastAsia="Verdana" w:hAnsi="Verdana" w:cs="Verdana"/>
          <w:kern w:val="28"/>
          <w:sz w:val="22"/>
          <w:szCs w:val="22"/>
          <w:u w:val="none"/>
          <w:lang w:val="it-IT"/>
        </w:rPr>
        <w:t>Android</w:t>
      </w:r>
      <w:proofErr w:type="spellEnd"/>
      <w:r w:rsidRPr="00AF5379">
        <w:rPr>
          <w:rStyle w:val="Collegamentoipertestuale"/>
          <w:rFonts w:ascii="Verdana" w:eastAsia="Verdana" w:hAnsi="Verdana" w:cs="Verdana"/>
          <w:kern w:val="28"/>
          <w:sz w:val="22"/>
          <w:szCs w:val="22"/>
          <w:u w:val="none"/>
          <w:lang w:val="it-IT"/>
        </w:rPr>
        <w:t>.</w:t>
      </w:r>
    </w:p>
    <w:tbl>
      <w:tblPr>
        <w:tblStyle w:val="TableNormal1"/>
        <w:tblW w:w="800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1"/>
        <w:gridCol w:w="2797"/>
      </w:tblGrid>
      <w:tr w:rsidR="004C48D0" w:rsidRPr="00CF025F" w14:paraId="7FBC2766" w14:textId="77777777">
        <w:trPr>
          <w:trHeight w:val="56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652F2" w14:textId="77777777" w:rsidR="009B23CE" w:rsidRPr="00AF5379" w:rsidRDefault="009B23CE">
            <w:pPr>
              <w:spacing w:line="360" w:lineRule="auto"/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it-IT"/>
              </w:rPr>
            </w:pPr>
          </w:p>
          <w:p w14:paraId="6205A921" w14:textId="2CCEFAC0" w:rsidR="004C48D0" w:rsidRPr="009C1D99" w:rsidRDefault="00A7746D">
            <w:pPr>
              <w:spacing w:line="360" w:lineRule="auto"/>
              <w:rPr>
                <w:rFonts w:ascii="Verdana" w:eastAsia="Verdana" w:hAnsi="Verdana" w:cs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</w:rPr>
            </w:pPr>
            <w:r>
              <w:rPr>
                <w:rFonts w:ascii="Verdana" w:hAnsi="Verdana"/>
                <w:color w:val="464646"/>
                <w:kern w:val="28"/>
                <w:sz w:val="22"/>
                <w:szCs w:val="22"/>
                <w:u w:color="464646"/>
                <w:lang w:val="en"/>
              </w:rPr>
              <w:t>GC Europe N.V.</w:t>
            </w:r>
          </w:p>
          <w:p w14:paraId="0E364DD4" w14:textId="77777777" w:rsidR="004C48D0" w:rsidRPr="009C1D99" w:rsidRDefault="00A7746D">
            <w:pPr>
              <w:spacing w:line="360" w:lineRule="auto"/>
              <w:rPr>
                <w:rFonts w:ascii="Verdana" w:eastAsia="Verdana" w:hAnsi="Verdana" w:cs="Verdana"/>
                <w:color w:val="464646"/>
                <w:spacing w:val="5"/>
                <w:kern w:val="28"/>
                <w:sz w:val="22"/>
                <w:szCs w:val="22"/>
                <w:u w:color="464646"/>
              </w:rPr>
            </w:pPr>
            <w:r>
              <w:rPr>
                <w:rFonts w:ascii="Verdana" w:hAnsi="Verdana"/>
                <w:color w:val="464646"/>
                <w:kern w:val="28"/>
                <w:sz w:val="22"/>
                <w:szCs w:val="22"/>
                <w:u w:color="464646"/>
                <w:lang w:val="en"/>
              </w:rPr>
              <w:t>Interleuvenlaan 33</w:t>
            </w:r>
          </w:p>
          <w:p w14:paraId="545474A3" w14:textId="77777777" w:rsidR="004C48D0" w:rsidRPr="009C1D99" w:rsidRDefault="00A7746D">
            <w:pPr>
              <w:spacing w:line="360" w:lineRule="auto"/>
              <w:rPr>
                <w:rFonts w:ascii="Verdana" w:eastAsia="Verdana" w:hAnsi="Verdana" w:cs="Verdana"/>
                <w:color w:val="464646"/>
                <w:spacing w:val="5"/>
                <w:kern w:val="28"/>
                <w:sz w:val="22"/>
                <w:szCs w:val="22"/>
                <w:u w:color="464646"/>
              </w:rPr>
            </w:pPr>
            <w:r>
              <w:rPr>
                <w:rFonts w:ascii="Verdana" w:hAnsi="Verdana"/>
                <w:color w:val="464646"/>
                <w:kern w:val="28"/>
                <w:sz w:val="22"/>
                <w:szCs w:val="22"/>
                <w:u w:color="464646"/>
                <w:lang w:val="en"/>
              </w:rPr>
              <w:t>3001 Leuven</w:t>
            </w:r>
          </w:p>
          <w:p w14:paraId="470B7B03" w14:textId="77777777" w:rsidR="004C48D0" w:rsidRPr="009C1D99" w:rsidRDefault="00A7746D">
            <w:pPr>
              <w:tabs>
                <w:tab w:val="left" w:pos="708"/>
                <w:tab w:val="left" w:pos="1416"/>
                <w:tab w:val="left" w:pos="2124"/>
                <w:tab w:val="left" w:pos="4020"/>
              </w:tabs>
              <w:spacing w:line="360" w:lineRule="auto"/>
              <w:rPr>
                <w:rFonts w:ascii="Verdana" w:eastAsia="Verdana" w:hAnsi="Verdana" w:cs="Verdana"/>
                <w:color w:val="464646"/>
                <w:spacing w:val="5"/>
                <w:kern w:val="28"/>
                <w:sz w:val="22"/>
                <w:szCs w:val="22"/>
                <w:u w:color="464646"/>
              </w:rPr>
            </w:pPr>
            <w:r>
              <w:rPr>
                <w:rFonts w:ascii="Verdana" w:hAnsi="Verdana"/>
                <w:color w:val="464646"/>
                <w:kern w:val="28"/>
                <w:sz w:val="22"/>
                <w:szCs w:val="22"/>
                <w:u w:color="464646"/>
                <w:lang w:val="en"/>
              </w:rPr>
              <w:t xml:space="preserve">Tel. </w:t>
            </w:r>
            <w:r>
              <w:rPr>
                <w:rFonts w:ascii="Verdana" w:hAnsi="Verdana"/>
                <w:color w:val="464646"/>
                <w:kern w:val="28"/>
                <w:sz w:val="22"/>
                <w:szCs w:val="22"/>
                <w:u w:color="464646"/>
                <w:lang w:val="en"/>
              </w:rPr>
              <w:tab/>
              <w:t>+32.16.74.10.00</w:t>
            </w:r>
            <w:r>
              <w:rPr>
                <w:rFonts w:ascii="Verdana" w:hAnsi="Verdana"/>
                <w:color w:val="464646"/>
                <w:kern w:val="28"/>
                <w:sz w:val="22"/>
                <w:szCs w:val="22"/>
                <w:u w:color="464646"/>
                <w:lang w:val="en"/>
              </w:rPr>
              <w:tab/>
            </w:r>
          </w:p>
          <w:p w14:paraId="1E7B0E37" w14:textId="77777777" w:rsidR="004C48D0" w:rsidRPr="009C1D99" w:rsidRDefault="00A7746D">
            <w:pPr>
              <w:spacing w:line="360" w:lineRule="auto"/>
              <w:rPr>
                <w:rFonts w:ascii="Verdana" w:eastAsia="Verdana" w:hAnsi="Verdana" w:cs="Verdana"/>
                <w:color w:val="464646"/>
                <w:spacing w:val="5"/>
                <w:kern w:val="28"/>
                <w:sz w:val="22"/>
                <w:szCs w:val="22"/>
                <w:u w:color="464646"/>
              </w:rPr>
            </w:pPr>
            <w:r>
              <w:rPr>
                <w:rFonts w:ascii="Verdana" w:hAnsi="Verdana"/>
                <w:color w:val="464646"/>
                <w:kern w:val="28"/>
                <w:sz w:val="22"/>
                <w:szCs w:val="22"/>
                <w:u w:color="464646"/>
                <w:lang w:val="en"/>
              </w:rPr>
              <w:t xml:space="preserve">Fax </w:t>
            </w:r>
            <w:r>
              <w:rPr>
                <w:rFonts w:ascii="Verdana" w:hAnsi="Verdana"/>
                <w:color w:val="464646"/>
                <w:kern w:val="28"/>
                <w:sz w:val="22"/>
                <w:szCs w:val="22"/>
                <w:u w:color="464646"/>
                <w:lang w:val="en"/>
              </w:rPr>
              <w:tab/>
              <w:t>+32.16.74.11.99</w:t>
            </w:r>
          </w:p>
          <w:p w14:paraId="71DD0B93" w14:textId="77777777" w:rsidR="004C48D0" w:rsidRPr="009C1D99" w:rsidRDefault="00A7746D">
            <w:pPr>
              <w:pStyle w:val="NormaleWeb"/>
              <w:spacing w:before="0" w:after="0" w:line="360" w:lineRule="auto"/>
              <w:ind w:right="459"/>
              <w:rPr>
                <w:rFonts w:ascii="Verdana" w:eastAsia="Verdana" w:hAnsi="Verdana" w:cs="Verdana"/>
                <w:color w:val="464646"/>
                <w:sz w:val="22"/>
                <w:szCs w:val="22"/>
                <w:u w:color="464646"/>
              </w:rPr>
            </w:pPr>
            <w:r>
              <w:rPr>
                <w:rFonts w:ascii="Verdana" w:hAnsi="Verdana"/>
                <w:color w:val="464646"/>
                <w:kern w:val="28"/>
                <w:sz w:val="22"/>
                <w:szCs w:val="22"/>
                <w:u w:color="464646"/>
                <w:lang w:val="en"/>
              </w:rPr>
              <w:t>www.gceurope.com</w:t>
            </w:r>
          </w:p>
          <w:p w14:paraId="10A170EC" w14:textId="77777777" w:rsidR="0052480D" w:rsidRDefault="001061E4" w:rsidP="0052480D">
            <w:pPr>
              <w:pStyle w:val="NormaleWeb"/>
              <w:spacing w:before="0" w:after="0" w:line="360" w:lineRule="auto"/>
              <w:jc w:val="both"/>
              <w:rPr>
                <w:rStyle w:val="Collegamentoipertestuale"/>
                <w:rFonts w:ascii="Verdana" w:hAnsi="Verdana"/>
                <w:spacing w:val="5"/>
                <w:kern w:val="28"/>
                <w:sz w:val="22"/>
                <w:szCs w:val="22"/>
              </w:rPr>
            </w:pPr>
            <w:hyperlink r:id="rId9" w:history="1">
              <w:r>
                <w:rPr>
                  <w:rStyle w:val="Collegamentoipertestuale"/>
                  <w:rFonts w:ascii="Verdana" w:hAnsi="Verdana"/>
                  <w:kern w:val="28"/>
                  <w:sz w:val="22"/>
                  <w:szCs w:val="22"/>
                  <w:lang w:val="en"/>
                </w:rPr>
                <w:t>info.gce@gc.dental</w:t>
              </w:r>
            </w:hyperlink>
          </w:p>
          <w:p w14:paraId="754C88CC" w14:textId="7B83F6D6" w:rsidR="00CF025F" w:rsidRPr="0052480D" w:rsidRDefault="00CF025F" w:rsidP="0052480D">
            <w:pPr>
              <w:pStyle w:val="NormaleWeb"/>
              <w:spacing w:before="0" w:after="0" w:line="360" w:lineRule="auto"/>
              <w:jc w:val="both"/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8E3E9" w14:textId="77777777" w:rsidR="004C48D0" w:rsidRPr="003042DF" w:rsidRDefault="004C48D0">
            <w:pPr>
              <w:pStyle w:val="NormaleWeb"/>
              <w:spacing w:before="0" w:after="0" w:line="360" w:lineRule="auto"/>
              <w:jc w:val="both"/>
            </w:pPr>
          </w:p>
        </w:tc>
      </w:tr>
    </w:tbl>
    <w:p w14:paraId="70407860" w14:textId="77777777" w:rsidR="004C48D0" w:rsidRPr="003042DF" w:rsidRDefault="004C48D0">
      <w:pPr>
        <w:widowControl w:val="0"/>
        <w:ind w:left="108" w:hanging="108"/>
        <w:jc w:val="both"/>
      </w:pPr>
    </w:p>
    <w:sectPr w:rsidR="004C48D0" w:rsidRPr="003042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2AC95" w14:textId="77777777" w:rsidR="001061E4" w:rsidRDefault="001061E4">
      <w:r>
        <w:separator/>
      </w:r>
    </w:p>
  </w:endnote>
  <w:endnote w:type="continuationSeparator" w:id="0">
    <w:p w14:paraId="3BDC418F" w14:textId="77777777" w:rsidR="001061E4" w:rsidRDefault="0010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572F6" w14:textId="77777777" w:rsidR="00AF5379" w:rsidRDefault="00AF53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982B8" w14:textId="77777777" w:rsidR="00AF5379" w:rsidRDefault="00AF537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513E" w14:textId="77777777" w:rsidR="00AF5379" w:rsidRDefault="00AF53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A6E26" w14:textId="77777777" w:rsidR="001061E4" w:rsidRDefault="001061E4">
      <w:r>
        <w:separator/>
      </w:r>
    </w:p>
  </w:footnote>
  <w:footnote w:type="continuationSeparator" w:id="0">
    <w:p w14:paraId="709CA6BE" w14:textId="77777777" w:rsidR="001061E4" w:rsidRDefault="00106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009C0" w14:textId="77777777" w:rsidR="00AF5379" w:rsidRDefault="00AF537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E29D1" w14:textId="77777777" w:rsidR="004C48D0" w:rsidRDefault="00A7746D">
    <w:pPr>
      <w:pStyle w:val="Intestazione"/>
      <w:tabs>
        <w:tab w:val="clear" w:pos="9072"/>
        <w:tab w:val="right" w:pos="7842"/>
      </w:tabs>
    </w:pPr>
    <w:r>
      <w:rPr>
        <w:noProof/>
        <w:lang w:val="en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E80EE53" wp14:editId="4343C3F6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2" cy="9672322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2" cy="9672322"/>
                        <a:chOff x="0" y="-1"/>
                        <a:chExt cx="7250431" cy="9672321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3"/>
                          <a:ext cx="1569722" cy="3532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2"/>
                          <a:ext cx="7250433" cy="579069"/>
                          <a:chOff x="0" y="0"/>
                          <a:chExt cx="7250432" cy="579068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1" y="-1"/>
                            <a:ext cx="627412" cy="579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0" y="139052"/>
                            <a:ext cx="6759914" cy="190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8" y="137620"/>
                            <a:ext cx="195101" cy="36287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13.8pt;margin-top:36.2pt;width:570.9pt;height:761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-1" coordsize="7250432,9672321">
              <w10:wrap type="none" side="bothSides" anchorx="page" anchory="page"/>
              <v:shape id="_x0000_s1027" type="#_x0000_t75" style="position:absolute;left:2836544;top:9319113;width:1569721;height:353207;">
                <v:imagedata r:id="rId3" o:title="image1.png"/>
              </v:shape>
              <v:group id="_x0000_s1028" style="position:absolute;left:0;top:-1;width:7250432;height:579068;" coordorigin="0,0" coordsize="7250432,579068">
                <v:shape id="_x0000_s1029" type="#_x0000_t75" style="position:absolute;left:6623022;top:0;width:627410;height:579068;">
                  <v:imagedata r:id="rId4" o:title="image2.png"/>
                </v:shape>
                <v:line id="_x0000_s1030" style="position:absolute;left:0;top:139052;width:6759913;height:1905;flip:y;">
                  <v:fill on="f"/>
                  <v:stroke filltype="solid" color="#AFAFB0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line id="_x0000_s1031" style="position:absolute;left:6566069;top:137621;width:195100;height:362876;flip:y;">
                  <v:fill on="f"/>
                  <v:stroke filltype="solid" color="#AFAFB0" opacity="100.0%" weight="1.0pt" dashstyle="solid" endcap="flat" joinstyle="round" linestyle="single" startarrow="none" startarrowwidth="medium" startarrowlength="medium" endarrow="none" endarrowwidth="medium" endarrowlength="medium"/>
                </v:line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60317" w14:textId="77777777" w:rsidR="00AF5379" w:rsidRDefault="00AF53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013D1"/>
    <w:multiLevelType w:val="hybridMultilevel"/>
    <w:tmpl w:val="D1041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103CD"/>
    <w:multiLevelType w:val="hybridMultilevel"/>
    <w:tmpl w:val="E0C0BF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D0"/>
    <w:rsid w:val="00006CDB"/>
    <w:rsid w:val="00062497"/>
    <w:rsid w:val="0008245E"/>
    <w:rsid w:val="001061E4"/>
    <w:rsid w:val="00106786"/>
    <w:rsid w:val="001225C5"/>
    <w:rsid w:val="00126543"/>
    <w:rsid w:val="001A77BF"/>
    <w:rsid w:val="001F4E4F"/>
    <w:rsid w:val="00204E47"/>
    <w:rsid w:val="00247359"/>
    <w:rsid w:val="00270FCD"/>
    <w:rsid w:val="00291EEA"/>
    <w:rsid w:val="003042DF"/>
    <w:rsid w:val="00321DE6"/>
    <w:rsid w:val="003763C3"/>
    <w:rsid w:val="003860A8"/>
    <w:rsid w:val="003B43ED"/>
    <w:rsid w:val="003B4C34"/>
    <w:rsid w:val="003F1B6F"/>
    <w:rsid w:val="00474273"/>
    <w:rsid w:val="004C4154"/>
    <w:rsid w:val="004C48D0"/>
    <w:rsid w:val="004D3B6C"/>
    <w:rsid w:val="0052480D"/>
    <w:rsid w:val="00562B32"/>
    <w:rsid w:val="005D1861"/>
    <w:rsid w:val="005E7894"/>
    <w:rsid w:val="005F600C"/>
    <w:rsid w:val="006C68FF"/>
    <w:rsid w:val="007A2247"/>
    <w:rsid w:val="007C2BA7"/>
    <w:rsid w:val="007E6F1B"/>
    <w:rsid w:val="00821D97"/>
    <w:rsid w:val="008F7868"/>
    <w:rsid w:val="00981F33"/>
    <w:rsid w:val="009B23CE"/>
    <w:rsid w:val="009C1D99"/>
    <w:rsid w:val="009D4DB0"/>
    <w:rsid w:val="00A10F67"/>
    <w:rsid w:val="00A16E17"/>
    <w:rsid w:val="00A304BF"/>
    <w:rsid w:val="00A7746D"/>
    <w:rsid w:val="00AA0A27"/>
    <w:rsid w:val="00AC77C3"/>
    <w:rsid w:val="00AD3B53"/>
    <w:rsid w:val="00AF5379"/>
    <w:rsid w:val="00B65011"/>
    <w:rsid w:val="00C34322"/>
    <w:rsid w:val="00CF025F"/>
    <w:rsid w:val="00D21359"/>
    <w:rsid w:val="00D35E46"/>
    <w:rsid w:val="00D85CEE"/>
    <w:rsid w:val="00DA04CE"/>
    <w:rsid w:val="00DC1238"/>
    <w:rsid w:val="00E74AA0"/>
    <w:rsid w:val="00E83BE9"/>
    <w:rsid w:val="00E90EEE"/>
    <w:rsid w:val="00F7439A"/>
    <w:rsid w:val="00F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ABD82"/>
  <w15:docId w15:val="{A6BCAC1D-4FD0-4F29-81F9-1A0E6A8B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essunaspaziatura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stocommento">
    <w:name w:val="annotation text"/>
    <w:basedOn w:val="Normale"/>
    <w:link w:val="TestocommentoCarattere"/>
    <w:uiPriority w:val="99"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rFonts w:cs="Arial Unicode MS"/>
      <w:color w:val="000000"/>
      <w:u w:color="00000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25C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25C5"/>
    <w:rPr>
      <w:rFonts w:cs="Arial Unicode MS"/>
      <w:b/>
      <w:bCs/>
      <w:color w:val="000000"/>
      <w:u w:color="000000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2BA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dentistry.app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.gce@gc.denta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5E210-CE1C-4BAF-838A-E233BC29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Kuehne, Oliver</dc:creator>
  <cp:lastModifiedBy>Cerrato, Danilo</cp:lastModifiedBy>
  <cp:revision>2</cp:revision>
  <dcterms:created xsi:type="dcterms:W3CDTF">2020-09-30T11:20:00Z</dcterms:created>
  <dcterms:modified xsi:type="dcterms:W3CDTF">2020-09-30T11:20:00Z</dcterms:modified>
</cp:coreProperties>
</file>