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A13B" w14:textId="5FBF6503" w:rsidR="005A062B" w:rsidRPr="00BF6BCE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r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</w:t>
      </w:r>
      <w:r w:rsidR="00BF6BCE"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 xml:space="preserve"> Release</w:t>
      </w:r>
    </w:p>
    <w:p w14:paraId="2F45FC12" w14:textId="77777777" w:rsidR="005A062B" w:rsidRPr="00BF6BCE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en-US"/>
        </w:rPr>
      </w:pPr>
    </w:p>
    <w:p w14:paraId="0C096D18" w14:textId="714682E4" w:rsidR="005A062B" w:rsidRPr="00BF6BCE" w:rsidRDefault="00300A87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en-US"/>
        </w:rPr>
      </w:pPr>
      <w:bookmarkStart w:id="0" w:name="_Hlk42629633"/>
      <w:r>
        <w:rPr>
          <w:rFonts w:ascii="Verdana" w:hAnsi="Verdana"/>
          <w:color w:val="404040"/>
          <w:u w:val="single" w:color="404040"/>
          <w:lang w:val="en-US"/>
        </w:rPr>
        <w:t>Prospective s</w:t>
      </w:r>
      <w:r w:rsidR="00AE3C25">
        <w:rPr>
          <w:rFonts w:ascii="Verdana" w:hAnsi="Verdana"/>
          <w:color w:val="404040"/>
          <w:u w:val="single" w:color="404040"/>
          <w:lang w:val="en-US"/>
        </w:rPr>
        <w:t xml:space="preserve">tudy finds excellent peri-implant bone stability for </w:t>
      </w:r>
      <w:r>
        <w:rPr>
          <w:rFonts w:ascii="Verdana" w:hAnsi="Verdana"/>
          <w:color w:val="404040"/>
          <w:u w:val="single" w:color="404040"/>
          <w:lang w:val="en-US"/>
        </w:rPr>
        <w:t xml:space="preserve">GC </w:t>
      </w:r>
      <w:proofErr w:type="spellStart"/>
      <w:r w:rsidR="00AE3C25">
        <w:rPr>
          <w:rFonts w:ascii="Verdana" w:hAnsi="Verdana"/>
          <w:color w:val="404040"/>
          <w:u w:val="single" w:color="404040"/>
          <w:lang w:val="en-US"/>
        </w:rPr>
        <w:t>Aadva</w:t>
      </w:r>
      <w:proofErr w:type="spellEnd"/>
      <w:r w:rsidR="00AE3C25">
        <w:rPr>
          <w:rFonts w:ascii="Verdana" w:hAnsi="Verdana"/>
          <w:color w:val="404040"/>
          <w:u w:val="single" w:color="404040"/>
          <w:lang w:val="en-US"/>
        </w:rPr>
        <w:t xml:space="preserve"> </w:t>
      </w:r>
      <w:r>
        <w:rPr>
          <w:rFonts w:ascii="Verdana" w:hAnsi="Verdana"/>
          <w:color w:val="404040"/>
          <w:u w:val="single" w:color="404040"/>
          <w:lang w:val="en-US"/>
        </w:rPr>
        <w:t xml:space="preserve">standard </w:t>
      </w:r>
      <w:r w:rsidR="00AE3C25">
        <w:rPr>
          <w:rFonts w:ascii="Verdana" w:hAnsi="Verdana"/>
          <w:color w:val="404040"/>
          <w:u w:val="single" w:color="404040"/>
          <w:lang w:val="en-US"/>
        </w:rPr>
        <w:t>implants after 3 years</w:t>
      </w:r>
    </w:p>
    <w:p w14:paraId="601D8517" w14:textId="77777777" w:rsidR="00BF6BCE" w:rsidRDefault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180A969F" w14:textId="3695A7CE" w:rsidR="005A062B" w:rsidRPr="00BF6BCE" w:rsidRDefault="00300A87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n-US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GC </w:t>
      </w:r>
      <w:proofErr w:type="spellStart"/>
      <w:r w:rsidR="00AE3C25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Aadva</w:t>
      </w:r>
      <w:proofErr w:type="spellEnd"/>
      <w:r w:rsidR="00AE3C25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 implants appear to prevent marginal bone resorption</w:t>
      </w:r>
    </w:p>
    <w:p w14:paraId="7F91AB90" w14:textId="77777777" w:rsidR="00BF6BCE" w:rsidRPr="00BF6BCE" w:rsidRDefault="00BF6BCE">
      <w:pPr>
        <w:pStyle w:val="Text"/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bookmarkEnd w:id="0"/>
    <w:p w14:paraId="705763AC" w14:textId="0C839807" w:rsidR="00BF6BCE" w:rsidRDefault="00452077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  <w:r w:rsidRPr="00452077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>In implant dentistry, t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he peri-implant bone level is one of the most crucial factors that determine </w:t>
      </w:r>
      <w:r w:rsidR="00AE3C25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the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functional and aesthetic outcome. A recent </w:t>
      </w:r>
      <w:r w:rsidR="00492D0E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prospective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study conducted at </w:t>
      </w:r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the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Kyushu University </w:t>
      </w:r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Hospital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>(Japan)</w:t>
      </w:r>
      <w:r w:rsidR="00A14A9D" w:rsidRP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 found an excellent peri-implant marginal bone stability </w:t>
      </w:r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around </w:t>
      </w:r>
      <w:proofErr w:type="spellStart"/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>Aadva</w:t>
      </w:r>
      <w:proofErr w:type="spellEnd"/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 implants</w:t>
      </w:r>
      <w:r w:rsidR="00300A87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 (GC)</w:t>
      </w:r>
      <w:r w:rsid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 xml:space="preserve"> </w:t>
      </w:r>
      <w:r w:rsidR="00A14A9D" w:rsidRPr="00A14A9D"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  <w:t>in addition to 3-year success and survival rates of 100%.</w:t>
      </w:r>
    </w:p>
    <w:p w14:paraId="7ADB8670" w14:textId="77777777" w:rsidR="00265D58" w:rsidRPr="00A14A9D" w:rsidRDefault="00265D58" w:rsidP="00BF6BC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p w14:paraId="295CA2D9" w14:textId="039B88DC" w:rsidR="00300A87" w:rsidRDefault="00896960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Twenty-five </w:t>
      </w:r>
      <w:r w:rsidR="00AF5881">
        <w:rPr>
          <w:rFonts w:ascii="Verdana" w:hAnsi="Verdana"/>
          <w:color w:val="404040"/>
          <w:sz w:val="22"/>
          <w:szCs w:val="22"/>
          <w:u w:color="404040"/>
          <w:lang w:val="en-US"/>
        </w:rPr>
        <w:t>s</w:t>
      </w:r>
      <w:r w:rsidR="00300A87" w:rsidRP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>ystematically healthy patient</w:t>
      </w:r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s </w:t>
      </w:r>
      <w:r w:rsidR="00AF5881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who </w:t>
      </w:r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received one or two GC </w:t>
      </w:r>
      <w:proofErr w:type="spellStart"/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>Aadva</w:t>
      </w:r>
      <w:proofErr w:type="spellEnd"/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standard implants placed in accordance with a two-stage protocol</w:t>
      </w:r>
      <w:r w:rsidR="00AF5881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completed the 3-year prospective follow-up</w:t>
      </w:r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>.</w:t>
      </w:r>
      <w:r w:rsidR="00300A87" w:rsidRP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</w:t>
      </w:r>
      <w:r w:rsidR="00300A87">
        <w:rPr>
          <w:rFonts w:ascii="Verdana" w:hAnsi="Verdana"/>
          <w:color w:val="404040"/>
          <w:sz w:val="22"/>
          <w:szCs w:val="22"/>
          <w:u w:color="404040"/>
          <w:lang w:val="en-US"/>
        </w:rPr>
        <w:t>The marginal bone level was radiographically determined at the time of implant placement, at the moment of placement of the restoration, after one year and after 3 years.</w:t>
      </w:r>
      <w:r w:rsidR="00B36AE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</w:t>
      </w:r>
      <w:r w:rsidR="00AF5881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All implants and restorations remained stable without any complications during the entire study. </w:t>
      </w:r>
      <w:r w:rsidR="00492D0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The </w:t>
      </w:r>
      <w:r w:rsidR="009779F4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change in bone level occurred before placement of the restoration </w:t>
      </w:r>
      <w:r w:rsidR="00492D0E">
        <w:rPr>
          <w:rFonts w:ascii="Verdana" w:hAnsi="Verdana"/>
          <w:color w:val="404040"/>
          <w:sz w:val="22"/>
          <w:szCs w:val="22"/>
          <w:u w:color="404040"/>
          <w:lang w:val="en-US"/>
        </w:rPr>
        <w:t>could be mainly attributed to the reestablishment of the biologic width</w:t>
      </w:r>
      <w:r w:rsidR="009779F4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while the bone level after loading was almost stable</w:t>
      </w:r>
      <w:r w:rsidR="006076C5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(-0.04±0.95 mm).</w:t>
      </w:r>
      <w:r w:rsidR="009779F4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</w:t>
      </w:r>
      <w:r w:rsidR="00B36AE7">
        <w:rPr>
          <w:rFonts w:ascii="Verdana" w:hAnsi="Verdana"/>
          <w:color w:val="404040"/>
          <w:sz w:val="22"/>
          <w:szCs w:val="22"/>
          <w:u w:color="404040"/>
          <w:lang w:val="en-US"/>
        </w:rPr>
        <w:t>The authors attributed this favorable result to the platform shifting and conical connection of the implants</w:t>
      </w:r>
      <w:r w:rsidR="00492D0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, which provide a rigid connection and reduce </w:t>
      </w:r>
      <w:proofErr w:type="spellStart"/>
      <w:r w:rsidR="00492D0E">
        <w:rPr>
          <w:rFonts w:ascii="Verdana" w:hAnsi="Verdana"/>
          <w:color w:val="404040"/>
          <w:sz w:val="22"/>
          <w:szCs w:val="22"/>
          <w:u w:color="404040"/>
          <w:lang w:val="en-US"/>
        </w:rPr>
        <w:t>microgap</w:t>
      </w:r>
      <w:proofErr w:type="spellEnd"/>
      <w:r w:rsidR="00492D0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formation and micromotion.</w:t>
      </w:r>
    </w:p>
    <w:p w14:paraId="31EF285D" w14:textId="77777777" w:rsidR="00300A87" w:rsidRDefault="00300A87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2B63D971" w14:textId="77777777" w:rsidR="00067E9A" w:rsidRDefault="00BF6BCE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r w:rsidRPr="00BF6BC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The </w:t>
      </w:r>
      <w:r w:rsidR="00A14A9D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full </w:t>
      </w:r>
      <w:r w:rsidRPr="00BF6BCE">
        <w:rPr>
          <w:rFonts w:ascii="Verdana" w:hAnsi="Verdana"/>
          <w:color w:val="404040"/>
          <w:sz w:val="22"/>
          <w:szCs w:val="22"/>
          <w:u w:color="404040"/>
          <w:lang w:val="en-US"/>
        </w:rPr>
        <w:t>study, titled “</w:t>
      </w:r>
      <w:r w:rsidR="00452077" w:rsidRPr="00452077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A 3-Year Prospective Study on Radiographic Marginal Bone Evaluation Around Platform-Shifting Implants with </w:t>
      </w:r>
      <w:r w:rsidR="00452077" w:rsidRPr="00452077">
        <w:rPr>
          <w:rFonts w:ascii="Verdana" w:hAnsi="Verdana"/>
          <w:color w:val="404040"/>
          <w:sz w:val="22"/>
          <w:szCs w:val="22"/>
          <w:u w:color="404040"/>
          <w:lang w:val="en-US"/>
        </w:rPr>
        <w:lastRenderedPageBreak/>
        <w:t>Internal Conical Connections</w:t>
      </w:r>
      <w:r w:rsidRPr="00BF6BC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”, was published in the </w:t>
      </w:r>
      <w:r w:rsidR="00265D58" w:rsidRPr="00265D58">
        <w:rPr>
          <w:rFonts w:ascii="Verdana" w:hAnsi="Verdana"/>
          <w:color w:val="404040"/>
          <w:sz w:val="22"/>
          <w:szCs w:val="22"/>
          <w:u w:color="404040"/>
          <w:lang w:val="en-US"/>
        </w:rPr>
        <w:t>May-Jun 2021</w:t>
      </w:r>
      <w:r w:rsidRPr="00BF6BCE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issue of the </w:t>
      </w:r>
      <w:r w:rsidR="00265D58"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International </w:t>
      </w:r>
      <w:r w:rsidR="00265D58" w:rsidRPr="00265D58">
        <w:rPr>
          <w:rFonts w:ascii="Verdana" w:hAnsi="Verdana"/>
          <w:color w:val="404040"/>
          <w:sz w:val="22"/>
          <w:szCs w:val="22"/>
          <w:u w:color="404040"/>
          <w:lang w:val="en-US"/>
        </w:rPr>
        <w:t>Journal of Oral &amp; Maxillofacial Implants</w:t>
      </w:r>
      <w:r w:rsidRPr="00BF6BCE">
        <w:rPr>
          <w:rFonts w:ascii="Verdana" w:hAnsi="Verdana"/>
          <w:color w:val="404040"/>
          <w:sz w:val="22"/>
          <w:szCs w:val="22"/>
          <w:u w:color="404040"/>
          <w:lang w:val="en-US"/>
        </w:rPr>
        <w:t>.</w:t>
      </w:r>
    </w:p>
    <w:p w14:paraId="0E722AC7" w14:textId="77777777" w:rsidR="00067E9A" w:rsidRDefault="00067E9A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24980529" w14:textId="096DF90E" w:rsidR="00067E9A" w:rsidRPr="00E8657B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For the study and abstract, please follow the link: </w:t>
      </w:r>
      <w:hyperlink r:id="rId6" w:history="1">
        <w:r w:rsidR="00E8657B" w:rsidRPr="00E8657B">
          <w:rPr>
            <w:rStyle w:val="Hyperlink"/>
            <w:rFonts w:ascii="Verdana" w:hAnsi="Verdana"/>
            <w:lang w:val="en-US"/>
          </w:rPr>
          <w:t>h</w:t>
        </w:r>
        <w:r w:rsidR="00E8657B" w:rsidRPr="00E8657B">
          <w:rPr>
            <w:rStyle w:val="Hyperlink"/>
            <w:rFonts w:ascii="Verdana" w:hAnsi="Verdana"/>
            <w:lang w:val="en-US"/>
          </w:rPr>
          <w:t>t</w:t>
        </w:r>
        <w:r w:rsidR="00E8657B" w:rsidRPr="00E8657B">
          <w:rPr>
            <w:rStyle w:val="Hyperlink"/>
            <w:rFonts w:ascii="Verdana" w:hAnsi="Verdana"/>
            <w:lang w:val="en-US"/>
          </w:rPr>
          <w:t>tp://www.quintpub.com/journals/omi/abstract.php?iss2_id=1755&amp;article_id=21533#.YPFBf-gzZPZ</w:t>
        </w:r>
      </w:hyperlink>
    </w:p>
    <w:p w14:paraId="29A596E5" w14:textId="250FFEAF" w:rsidR="005A062B" w:rsidRDefault="005A062B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</w:p>
    <w:p w14:paraId="71AA518B" w14:textId="494A528C" w:rsidR="00E8657B" w:rsidRDefault="00E8657B" w:rsidP="00E8657B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Reference: </w:t>
      </w:r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Ogino</w:t>
      </w:r>
      <w:r w:rsid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Y</w:t>
      </w:r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, Matsushita</w:t>
      </w:r>
      <w:r w:rsid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Y</w:t>
      </w:r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, Sasaki</w:t>
      </w:r>
      <w:r w:rsid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M</w:t>
      </w:r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, A</w:t>
      </w:r>
      <w:proofErr w:type="spellStart"/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yukawa</w:t>
      </w:r>
      <w:proofErr w:type="spellEnd"/>
      <w:r w:rsid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Y</w:t>
      </w:r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, </w:t>
      </w:r>
      <w:proofErr w:type="spellStart"/>
      <w:r w:rsidR="007A40FA" w:rsidRP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Koyano</w:t>
      </w:r>
      <w:proofErr w:type="spellEnd"/>
      <w:r w:rsidR="007A40FA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K. </w:t>
      </w:r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A 3-Year Prospective Study on Radiographic Marginal Bone Evaluation Around Platform-Shifting Implants with Internal Conical Connections</w:t>
      </w: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. </w:t>
      </w:r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Int J Oral </w:t>
      </w:r>
      <w:proofErr w:type="spellStart"/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Maxillofac</w:t>
      </w:r>
      <w:proofErr w:type="spellEnd"/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 xml:space="preserve"> Implants. May-Jun 2021;36(3):574-580. </w:t>
      </w:r>
      <w:proofErr w:type="spellStart"/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doi</w:t>
      </w:r>
      <w:proofErr w:type="spellEnd"/>
      <w:r w:rsidRPr="00E8657B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  <w:t>: 10.11607/jomi.8425.</w:t>
      </w:r>
    </w:p>
    <w:p w14:paraId="09D3C48D" w14:textId="77777777" w:rsidR="00067E9A" w:rsidRPr="00BF6BCE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</w:p>
    <w:p w14:paraId="20DD70D1" w14:textId="77777777" w:rsidR="007F3845" w:rsidRDefault="007F3845" w:rsidP="007F3845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GC Europe N.V.</w:t>
      </w:r>
    </w:p>
    <w:p w14:paraId="6A3DCECD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 33</w:t>
      </w:r>
    </w:p>
    <w:p w14:paraId="6033763F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3001 Leuven</w:t>
      </w:r>
    </w:p>
    <w:p w14:paraId="314C3EAE" w14:textId="77777777" w:rsidR="007F3845" w:rsidRDefault="007F3845" w:rsidP="007F3845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</w:r>
    </w:p>
    <w:p w14:paraId="550D7359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+32.16.74.11.99</w:t>
      </w:r>
    </w:p>
    <w:p w14:paraId="000F0AE2" w14:textId="77777777" w:rsidR="007F3845" w:rsidRDefault="007F3845" w:rsidP="007F3845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www.gceurope.com</w:t>
      </w:r>
    </w:p>
    <w:p w14:paraId="5C2122A4" w14:textId="77777777" w:rsidR="007F3845" w:rsidRDefault="007A40FA" w:rsidP="007F3845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7" w:history="1">
        <w:r w:rsidR="007F3845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4B1B8A8B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A9EE3AA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452077" w:rsidRDefault="00B65F06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  <w:r w:rsidRPr="00BF6BCE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</w:p>
    <w:p w14:paraId="2D92CF91" w14:textId="77777777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7431B83A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452077" w:rsidRDefault="00541656" w:rsidP="00AF18BD">
      <w:pPr>
        <w:pStyle w:val="NormalWeb"/>
        <w:rPr>
          <w:lang w:val="fr-FR"/>
        </w:rPr>
      </w:pPr>
    </w:p>
    <w:sectPr w:rsidR="00541656" w:rsidRPr="00452077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67E9A"/>
    <w:rsid w:val="00265D58"/>
    <w:rsid w:val="00300A87"/>
    <w:rsid w:val="00452077"/>
    <w:rsid w:val="00457D25"/>
    <w:rsid w:val="00492D0E"/>
    <w:rsid w:val="00505AB1"/>
    <w:rsid w:val="00541656"/>
    <w:rsid w:val="005A062B"/>
    <w:rsid w:val="006076C5"/>
    <w:rsid w:val="006E2917"/>
    <w:rsid w:val="006F7372"/>
    <w:rsid w:val="0078649F"/>
    <w:rsid w:val="007A40FA"/>
    <w:rsid w:val="007E7CA6"/>
    <w:rsid w:val="007F3845"/>
    <w:rsid w:val="00896960"/>
    <w:rsid w:val="009779F4"/>
    <w:rsid w:val="009D5936"/>
    <w:rsid w:val="009E370E"/>
    <w:rsid w:val="00A14A9D"/>
    <w:rsid w:val="00A23061"/>
    <w:rsid w:val="00AE3C25"/>
    <w:rsid w:val="00AE6861"/>
    <w:rsid w:val="00AF18BD"/>
    <w:rsid w:val="00AF5881"/>
    <w:rsid w:val="00B23946"/>
    <w:rsid w:val="00B36AE7"/>
    <w:rsid w:val="00B64A2D"/>
    <w:rsid w:val="00B65F06"/>
    <w:rsid w:val="00BF6BCE"/>
    <w:rsid w:val="00C42125"/>
    <w:rsid w:val="00CE14E8"/>
    <w:rsid w:val="00DE67E6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5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tpub.com/journals/omi/abstract.php?iss2_id=1755&amp;article_id=21533%23.YPFBf-gzZP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Van Ende, Annelies</cp:lastModifiedBy>
  <cp:revision>3</cp:revision>
  <dcterms:created xsi:type="dcterms:W3CDTF">2021-07-14T05:25:00Z</dcterms:created>
  <dcterms:modified xsi:type="dcterms:W3CDTF">2021-07-16T08:41:00Z</dcterms:modified>
</cp:coreProperties>
</file>