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937CF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17E0BD06" w14:textId="2A807DBD" w:rsidR="00597B4B" w:rsidRPr="00A937CF" w:rsidRDefault="00406C5C" w:rsidP="00541E03">
      <w:pPr>
        <w:spacing w:line="360" w:lineRule="auto"/>
        <w:ind w:right="-493"/>
        <w:rPr>
          <w:rFonts w:ascii="Verdana" w:hAnsi="Verdana"/>
          <w:color w:val="000000"/>
          <w:sz w:val="20"/>
        </w:rPr>
      </w:pPr>
      <w:r w:rsidRPr="00406C5C">
        <w:rPr>
          <w:rFonts w:ascii="Verdana" w:hAnsi="Verdana"/>
          <w:b/>
          <w:color w:val="000000" w:themeColor="text1"/>
          <w:sz w:val="28"/>
          <w:u w:val="single"/>
        </w:rPr>
        <w:t>AUFGABE GELÖST – MIT GC!</w:t>
      </w:r>
    </w:p>
    <w:p w14:paraId="33E8AB6E" w14:textId="78A0C5E5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konzentriert sich auf Lösungen, nicht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Probleme. GC verhilft Zahnärztinnen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Zahnärzten zu mehr Effizienz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vorhersagbaren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Ergebnissen und damit zu mehr Erfolg.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 der Produktentwicklung achtet GC besonders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eine einfache Handhabung. Das verkürzt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die Behandlungszeiten – ohne Kompromisse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beim Endergebnis. Alle Produkte von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sind optimal aufeinander abgestimmt.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Wenn man sie miteinander kombiniert, kommen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sämtliche Vorteile zum Tragen.</w:t>
      </w:r>
    </w:p>
    <w:p w14:paraId="4AD4E6D0" w14:textId="77777777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33A593D5" w14:textId="35BAC77F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Beim Bonding kommt es nicht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nur auf das Produkt an. Hier spielen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zahlreiche Faktoren eine Rolle.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Vielzahl der angebotenen Produkte</w:t>
      </w:r>
    </w:p>
    <w:p w14:paraId="573D5B62" w14:textId="1C6B2771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und die Vielfalt der Protokolle erschweren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Entscheidungen und verkomplizieren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Abläufe in der Praxis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oft deutlich. G-Premio BOND ist ein</w:t>
      </w:r>
    </w:p>
    <w:p w14:paraId="7B2F302F" w14:textId="245F0DFA" w:rsid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echtes Universal-Adhäsiv für sicheres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Bonding, geeignet für alle Ätzverfahren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und alle Indikationen. So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kann mit nur einem Material, unabhängig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von den klinischen Gegebenheiten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oder der bevorzugten Arbeitsweise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eine dauerhaft starke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Verbindung hergestellt werden.</w:t>
      </w:r>
    </w:p>
    <w:p w14:paraId="6DA7EDA2" w14:textId="77777777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4A4FFB06" w14:textId="651E3475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G-Premio BOND bietet die Vorteile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eines universellen einphasigen </w:t>
      </w:r>
      <w:proofErr w:type="spellStart"/>
      <w:r w:rsidRPr="00436724">
        <w:rPr>
          <w:rFonts w:ascii="Verdana" w:hAnsi="Verdana"/>
          <w:color w:val="000000" w:themeColor="text1"/>
          <w:sz w:val="22"/>
          <w:szCs w:val="20"/>
        </w:rPr>
        <w:t>Adhäsivs</w:t>
      </w:r>
      <w:proofErr w:type="spellEnd"/>
      <w:r w:rsidRPr="00436724">
        <w:rPr>
          <w:rFonts w:ascii="Verdana" w:hAnsi="Verdana"/>
          <w:color w:val="000000" w:themeColor="text1"/>
          <w:sz w:val="22"/>
          <w:szCs w:val="20"/>
        </w:rPr>
        <w:t>,</w:t>
      </w:r>
    </w:p>
    <w:p w14:paraId="247EFACA" w14:textId="750C8CAA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erzielt aber durch die einzigartige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Kombination von drei funktionellen</w:t>
      </w:r>
    </w:p>
    <w:p w14:paraId="4C3C2DC7" w14:textId="49918FFB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Monomeren (4-MET, MDP,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MDTP) in allen Situationen Spitzenleistungen.</w:t>
      </w:r>
    </w:p>
    <w:p w14:paraId="55D3618F" w14:textId="1237471B" w:rsidR="00436724" w:rsidRP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Das preisgekrönte Flaschendesign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ermöglicht eine präzise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und saubere Dosierung von bis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zu 300 Tropfen.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G-Premio BOND hat alles, was</w:t>
      </w:r>
    </w:p>
    <w:p w14:paraId="0B184EBF" w14:textId="77777777" w:rsidR="00436724" w:rsidRDefault="00436724" w:rsidP="00436724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ein bevorzugtes Universal-Adhäsiv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ausmacht:</w:t>
      </w:r>
    </w:p>
    <w:p w14:paraId="3B96ED5F" w14:textId="77777777" w:rsidR="00436724" w:rsidRDefault="00436724" w:rsidP="00DD41F5">
      <w:pPr>
        <w:pStyle w:val="NormalWeb"/>
        <w:numPr>
          <w:ilvl w:val="0"/>
          <w:numId w:val="25"/>
        </w:numPr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zuverlässiger Verbund mit Schmelz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und Dentin, aber auch mit anderen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Restaurationsmaterialien – direkt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oder indirekt – und damit sowohl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für neue Restaurationen als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auch für Reparaturen geeignet</w:t>
      </w:r>
    </w:p>
    <w:p w14:paraId="67FA871B" w14:textId="5A69625A" w:rsidR="00436724" w:rsidRPr="00436724" w:rsidRDefault="00436724" w:rsidP="009E234D">
      <w:pPr>
        <w:pStyle w:val="NormalWeb"/>
        <w:numPr>
          <w:ilvl w:val="0"/>
          <w:numId w:val="25"/>
        </w:numPr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unbeeinträchtigte Passung von indirekten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Restaurationen beim Zementieren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durch die sehr geringe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Schichtstärke – ideal auch für die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lastRenderedPageBreak/>
        <w:t>Verwendung mit dem universellen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selbstadhäsiven Komposit-Zement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G-CEM ONE; und</w:t>
      </w:r>
    </w:p>
    <w:p w14:paraId="6FF86084" w14:textId="45DA69BC" w:rsidR="009A7438" w:rsidRPr="00436724" w:rsidRDefault="00436724" w:rsidP="00436724">
      <w:pPr>
        <w:pStyle w:val="NormalWeb"/>
        <w:numPr>
          <w:ilvl w:val="0"/>
          <w:numId w:val="25"/>
        </w:numPr>
        <w:spacing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436724">
        <w:rPr>
          <w:rFonts w:ascii="Verdana" w:hAnsi="Verdana"/>
          <w:color w:val="000000" w:themeColor="text1"/>
          <w:sz w:val="22"/>
          <w:szCs w:val="20"/>
        </w:rPr>
        <w:t>die Möglichkeit zur dualhärtenden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Polymerisation mit dem separaten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dualhärtenden Aktivator,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dadurch auch geeignet für dual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und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selbsthärtende Materialien</w:t>
      </w:r>
      <w:r w:rsidRPr="00436724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sowie Stumpfaufbauten wie zum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436724">
        <w:rPr>
          <w:rFonts w:ascii="Verdana" w:hAnsi="Verdana"/>
          <w:color w:val="000000" w:themeColor="text1"/>
          <w:sz w:val="22"/>
          <w:szCs w:val="20"/>
        </w:rPr>
        <w:t>Beispiel GRADIA CORE.</w:t>
      </w:r>
    </w:p>
    <w:p w14:paraId="3D131254" w14:textId="77777777" w:rsidR="009A7438" w:rsidRDefault="009A7438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6943F737" w14:textId="269BAB9B" w:rsidR="000A3CF1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 Dentalfachleute sind eingeladen,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Vorteile der Arbeitsabläufe und Lösungen von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GC in Hands-on-Kursen und bei Labordemonstrationen</w:t>
      </w:r>
      <w:r w:rsidR="009A7438"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direkt zu erleben – auf der IDS am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Messestand. Dort werden auch täglich international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renommierte Zahnärzte und Zahntechniker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am Speakers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>’ Corner zu aktuellen Themen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referieren.</w:t>
      </w:r>
    </w:p>
    <w:p w14:paraId="6F6FF117" w14:textId="77777777" w:rsidR="000A3CF1" w:rsidRPr="000A3CF1" w:rsidRDefault="000A3CF1" w:rsidP="00541E03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32AE680B" w14:textId="2C04C600" w:rsidR="004B608D" w:rsidRPr="009D0AA6" w:rsidRDefault="004B608D" w:rsidP="004B608D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937CF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B608D" w:rsidRPr="009E678D" w14:paraId="13251FAC" w14:textId="77777777" w:rsidTr="00EC44CD">
        <w:tc>
          <w:tcPr>
            <w:tcW w:w="5211" w:type="dxa"/>
          </w:tcPr>
          <w:p w14:paraId="67DA39D2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39E92699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proofErr w:type="spellStart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</w:t>
            </w:r>
            <w:proofErr w:type="spellEnd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 xml:space="preserve"> 33</w:t>
            </w:r>
          </w:p>
          <w:p w14:paraId="407A985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3A333CDD" w14:textId="77777777" w:rsidR="004B608D" w:rsidRPr="002E1281" w:rsidRDefault="004B608D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5AB2BC6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Telefax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39700D6B" w14:textId="77777777" w:rsidR="002E1281" w:rsidRPr="002E1281" w:rsidRDefault="00436724" w:rsidP="00EC44CD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 w:rsidR="002E1281" w:rsidRPr="002E1281"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02679366" w14:textId="5C272F8A" w:rsidR="004B608D" w:rsidRDefault="00436724" w:rsidP="002E1281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 w:rsidR="002E1281" w:rsidRPr="005D5452"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178FCB58" w14:textId="47EDA1DE" w:rsidR="002E1281" w:rsidRPr="002E1281" w:rsidRDefault="002E1281" w:rsidP="002E1281">
            <w:pPr>
              <w:spacing w:line="360" w:lineRule="auto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0278A5D2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2E1281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t>Stand von GC auf der IDS 2023:</w:t>
            </w:r>
          </w:p>
          <w:p w14:paraId="697E1B44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Halle: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25E8DF77" w14:textId="3E64D454" w:rsidR="004B608D" w:rsidRPr="002E1281" w:rsidRDefault="004B608D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Stand: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N010 – O0</w:t>
            </w:r>
            <w:r w:rsidR="00A937CF" w:rsidRPr="002E1281">
              <w:rPr>
                <w:rFonts w:ascii="Verdana" w:hAnsi="Verdana"/>
                <w:color w:val="464646"/>
                <w:sz w:val="20"/>
              </w:rPr>
              <w:t>3</w:t>
            </w:r>
            <w:r w:rsidRPr="002E1281">
              <w:rPr>
                <w:rFonts w:ascii="Verdana" w:hAnsi="Verdana"/>
                <w:color w:val="464646"/>
                <w:sz w:val="20"/>
              </w:rPr>
              <w:t>9</w:t>
            </w:r>
          </w:p>
          <w:p w14:paraId="71D1A7F4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364C92F4" w:rsidR="00F348B6" w:rsidRPr="003F7F93" w:rsidRDefault="00F348B6" w:rsidP="004B608D">
      <w:pPr>
        <w:pStyle w:val="NormalWeb"/>
        <w:spacing w:before="0" w:beforeAutospacing="0" w:after="420" w:afterAutospacing="0" w:line="360" w:lineRule="auto"/>
        <w:ind w:right="-493"/>
        <w:contextualSpacing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00C" w14:textId="77777777" w:rsidR="008A64BE" w:rsidRDefault="008A64BE">
      <w:r>
        <w:separator/>
      </w:r>
    </w:p>
  </w:endnote>
  <w:endnote w:type="continuationSeparator" w:id="0">
    <w:p w14:paraId="22499218" w14:textId="77777777" w:rsidR="008A64BE" w:rsidRDefault="008A64BE">
      <w:r>
        <w:continuationSeparator/>
      </w:r>
    </w:p>
  </w:endnote>
  <w:endnote w:type="continuationNotice" w:id="1">
    <w:p w14:paraId="0B4A8EFD" w14:textId="77777777" w:rsidR="008A64BE" w:rsidRDefault="008A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98" w14:textId="77777777" w:rsidR="008A64BE" w:rsidRDefault="008A64BE">
      <w:r>
        <w:separator/>
      </w:r>
    </w:p>
  </w:footnote>
  <w:footnote w:type="continuationSeparator" w:id="0">
    <w:p w14:paraId="53451612" w14:textId="77777777" w:rsidR="008A64BE" w:rsidRDefault="008A64BE">
      <w:r>
        <w:continuationSeparator/>
      </w:r>
    </w:p>
  </w:footnote>
  <w:footnote w:type="continuationNotice" w:id="1">
    <w:p w14:paraId="0D44630C" w14:textId="77777777" w:rsidR="008A64BE" w:rsidRDefault="008A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rto="http://schemas.microsoft.com/office/word/2006/arto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C9E491C"/>
    <w:multiLevelType w:val="hybridMultilevel"/>
    <w:tmpl w:val="A928FE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23134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7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2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47040">
    <w:abstractNumId w:val="16"/>
  </w:num>
  <w:num w:numId="2" w16cid:durableId="779301387">
    <w:abstractNumId w:val="5"/>
  </w:num>
  <w:num w:numId="3" w16cid:durableId="1521889163">
    <w:abstractNumId w:val="21"/>
  </w:num>
  <w:num w:numId="4" w16cid:durableId="1497454592">
    <w:abstractNumId w:val="14"/>
  </w:num>
  <w:num w:numId="5" w16cid:durableId="1606378313">
    <w:abstractNumId w:val="17"/>
  </w:num>
  <w:num w:numId="6" w16cid:durableId="1494368962">
    <w:abstractNumId w:val="15"/>
  </w:num>
  <w:num w:numId="7" w16cid:durableId="1279877760">
    <w:abstractNumId w:val="2"/>
  </w:num>
  <w:num w:numId="8" w16cid:durableId="13847727">
    <w:abstractNumId w:val="3"/>
  </w:num>
  <w:num w:numId="9" w16cid:durableId="334845824">
    <w:abstractNumId w:val="2"/>
  </w:num>
  <w:num w:numId="10" w16cid:durableId="78333674">
    <w:abstractNumId w:val="13"/>
  </w:num>
  <w:num w:numId="11" w16cid:durableId="1347370610">
    <w:abstractNumId w:val="22"/>
  </w:num>
  <w:num w:numId="12" w16cid:durableId="1944603372">
    <w:abstractNumId w:val="0"/>
  </w:num>
  <w:num w:numId="13" w16cid:durableId="401297966">
    <w:abstractNumId w:val="11"/>
  </w:num>
  <w:num w:numId="14" w16cid:durableId="471413115">
    <w:abstractNumId w:val="10"/>
  </w:num>
  <w:num w:numId="15" w16cid:durableId="449250110">
    <w:abstractNumId w:val="4"/>
  </w:num>
  <w:num w:numId="16" w16cid:durableId="1866208216">
    <w:abstractNumId w:val="20"/>
  </w:num>
  <w:num w:numId="17" w16cid:durableId="1912227628">
    <w:abstractNumId w:val="8"/>
  </w:num>
  <w:num w:numId="18" w16cid:durableId="2097483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05744">
    <w:abstractNumId w:val="9"/>
  </w:num>
  <w:num w:numId="20" w16cid:durableId="344744047">
    <w:abstractNumId w:val="23"/>
  </w:num>
  <w:num w:numId="21" w16cid:durableId="1454861144">
    <w:abstractNumId w:val="18"/>
  </w:num>
  <w:num w:numId="22" w16cid:durableId="522016261">
    <w:abstractNumId w:val="7"/>
  </w:num>
  <w:num w:numId="23" w16cid:durableId="210070100">
    <w:abstractNumId w:val="19"/>
  </w:num>
  <w:num w:numId="24" w16cid:durableId="1837040396">
    <w:abstractNumId w:val="6"/>
  </w:num>
  <w:num w:numId="25" w16cid:durableId="17128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744A4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E6E2F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1281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5507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1DCC"/>
    <w:rsid w:val="00404B67"/>
    <w:rsid w:val="00406C5C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36724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08D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1E03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56031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1E90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4BE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615DE"/>
    <w:rsid w:val="00967AC5"/>
    <w:rsid w:val="00970D26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A7438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14DE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37CF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1DC9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57699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2792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Gerets, Ward</cp:lastModifiedBy>
  <cp:revision>2</cp:revision>
  <cp:lastPrinted>2019-02-25T15:10:00Z</cp:lastPrinted>
  <dcterms:created xsi:type="dcterms:W3CDTF">2023-03-10T11:09:00Z</dcterms:created>
  <dcterms:modified xsi:type="dcterms:W3CDTF">2023-03-10T11:09:00Z</dcterms:modified>
</cp:coreProperties>
</file>