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03D21D38" w14:textId="231D692E" w:rsidR="00814A45" w:rsidRPr="00091DBD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8"/>
          <w:szCs w:val="28"/>
          <w:u w:color="404040"/>
        </w:rPr>
      </w:pPr>
      <w:proofErr w:type="spellStart"/>
      <w:r w:rsidRPr="00091DBD">
        <w:rPr>
          <w:rFonts w:ascii="Verdana" w:eastAsia="Verdana" w:hAnsi="Verdana" w:cs="Verdana"/>
          <w:color w:val="404040"/>
          <w:sz w:val="28"/>
          <w:szCs w:val="28"/>
          <w:u w:color="404040"/>
        </w:rPr>
        <w:t>Onlays</w:t>
      </w:r>
      <w:proofErr w:type="spellEnd"/>
      <w:r w:rsidRPr="00091DBD">
        <w:rPr>
          <w:rFonts w:ascii="Verdana" w:eastAsia="Verdana" w:hAnsi="Verdana" w:cs="Verdana"/>
          <w:color w:val="404040"/>
          <w:sz w:val="28"/>
          <w:szCs w:val="28"/>
          <w:u w:color="404040"/>
        </w:rPr>
        <w:t xml:space="preserve"> &amp; overlays, de A à Z</w:t>
      </w:r>
    </w:p>
    <w:p w14:paraId="2EB7A35E" w14:textId="77777777" w:rsidR="00814A45" w:rsidRPr="00091DBD" w:rsidRDefault="00814A45" w:rsidP="00814A45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</w:pPr>
    </w:p>
    <w:p w14:paraId="56032590" w14:textId="7777777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fr-FR"/>
        </w:rPr>
      </w:pPr>
      <w:r w:rsidRPr="00814A45"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fr-FR"/>
        </w:rPr>
        <w:t>GC se concentre sur des restaurations durables et peu invasives de manière efficace</w:t>
      </w:r>
    </w:p>
    <w:p w14:paraId="51C4EC0A" w14:textId="7777777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</w:p>
    <w:p w14:paraId="0AA01699" w14:textId="6699482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Ces dernières années, la dentisterie s'est clairement orientée vers des restaurations peu invasives, permettant de préserver autant que possible les tissus dentaires. Dans la plupart des cas, cela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passe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par des restaurations directes. Cependant, il est parfois nécessaire de procéder à des restaurations indirectes. Alors que dans le passé, cela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impliquait le « sacrifice » de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beaucoup </w:t>
      </w:r>
      <w:proofErr w:type="gramStart"/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de</w:t>
      </w:r>
      <w:proofErr w:type="gramEnd"/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tissu dentaire pour placer une couronne, les restaurations partielles telles que les onlays et les overlays ont gagné en popularité en raison de leur caractère peu invasif. </w:t>
      </w:r>
    </w:p>
    <w:p w14:paraId="3A8FB2B1" w14:textId="7777777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Chez GC, l'importance d'une intervention minimale a toujours été la pierre angulaire des valeurs de l'entreprise. </w:t>
      </w:r>
    </w:p>
    <w:p w14:paraId="35C6F23D" w14:textId="1FDE955E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De la préparation au collage, le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praticien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est confronté à des défis à chaque étape. C'est pourquoi nous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allons proposer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une gamme de matériel éducatif co</w:t>
      </w:r>
      <w:r w:rsidR="00091DBD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nstruite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en collaboration avec des cliniciens renommés. </w:t>
      </w:r>
    </w:p>
    <w:p w14:paraId="2C47E202" w14:textId="21BD4CD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"Nous souhaitons fournir aux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praticiens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les connaissances et les ressources dont ils ont besoin pour prendre des décisions éclairées lors de la pose d'onlays et d'overlays", a déclaré Laetitia Lavoix, directrice générale du marketing chez GC Europe. "Ces restaurations offrent de nombreux avantages et nous pensons qu'en informant bien les dentistes, nous pouvons les aider à fournir les meilleurs soins à leurs patients."</w:t>
      </w:r>
    </w:p>
    <w:p w14:paraId="5CB62404" w14:textId="77777777" w:rsidR="00814A45" w:rsidRPr="00814A45" w:rsidRDefault="00814A45" w:rsidP="00814A45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</w:p>
    <w:p w14:paraId="12A8B08C" w14:textId="094FF84E" w:rsidR="00814A45" w:rsidRPr="00814A45" w:rsidRDefault="00814A45" w:rsidP="001C3B34">
      <w:pP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Pour plus d'informations sur les onlays et overlays, ou pour en savoir plus sur la gamme de produits GC pour ce type de restaurations,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consultez</w:t>
      </w:r>
      <w:r w:rsidRPr="00814A45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 xml:space="preserve"> le site </w:t>
      </w:r>
      <w:hyperlink r:id="rId6" w:history="1">
        <w:r w:rsidR="001C3B34" w:rsidRPr="000B309E">
          <w:rPr>
            <w:rStyle w:val="Hyperlink"/>
            <w:rFonts w:ascii="Verdana" w:eastAsia="Verdana" w:hAnsi="Verdana" w:cs="Verdana"/>
            <w:sz w:val="20"/>
            <w:szCs w:val="20"/>
            <w:lang w:val="fr-FR"/>
          </w:rPr>
          <w:t>https://campaigns-gceurope.com/indirect-restorative-preparation</w:t>
        </w:r>
      </w:hyperlink>
      <w:r w:rsidR="001C3B34"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  <w:t>.</w:t>
      </w:r>
    </w:p>
    <w:p w14:paraId="000C5BFD" w14:textId="77777777" w:rsidR="007D7D19" w:rsidRPr="00814A45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fr-FR"/>
        </w:rPr>
      </w:pPr>
    </w:p>
    <w:p w14:paraId="179DC009" w14:textId="77777777" w:rsidR="00206A13" w:rsidRPr="00091DBD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3C7E1509" w14:textId="77777777" w:rsid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48459F1F" w14:textId="77777777" w:rsid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512FDBA6" w14:textId="77777777" w:rsid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A8AD7C5" w14:textId="77777777" w:rsid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2B82E722" w14:textId="340A4F24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bookmarkStart w:id="0" w:name="_GoBack"/>
      <w:bookmarkEnd w:id="0"/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FRANCE S.A.S.</w:t>
      </w:r>
    </w:p>
    <w:p w14:paraId="57E9D4DF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409860D4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94370 Sucy en Brie</w:t>
      </w:r>
    </w:p>
    <w:p w14:paraId="30C77B7C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6FD90F0C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752338BE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6344B4C0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5DD720F6" w14:textId="77777777" w:rsidR="001C3B34" w:rsidRPr="001C3B34" w:rsidRDefault="001C3B34" w:rsidP="001C3B3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info.france@gc.dental</w:t>
      </w:r>
      <w:proofErr w:type="spellEnd"/>
    </w:p>
    <w:p w14:paraId="70407860" w14:textId="211856D5" w:rsidR="004C48D0" w:rsidRDefault="001C3B34" w:rsidP="001C3B34">
      <w:pPr>
        <w:widowControl w:val="0"/>
        <w:ind w:left="108" w:hanging="108"/>
        <w:jc w:val="both"/>
        <w:rPr>
          <w:lang w:val="fr-FR"/>
        </w:rPr>
      </w:pPr>
      <w:r w:rsidRPr="001C3B3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france.gceurope.com</w:t>
      </w:r>
    </w:p>
    <w:p w14:paraId="4489D452" w14:textId="3BA0EDB5" w:rsidR="00BB5D11" w:rsidRPr="003042DF" w:rsidRDefault="00BB5D11">
      <w:pPr>
        <w:widowControl w:val="0"/>
        <w:ind w:left="108" w:hanging="108"/>
        <w:jc w:val="both"/>
        <w:rPr>
          <w:lang w:val="fr-FR"/>
        </w:rPr>
      </w:pPr>
      <w:r>
        <w:rPr>
          <w:noProof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304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9BC0" w14:textId="77777777" w:rsidR="0035714D" w:rsidRDefault="0035714D">
      <w:r>
        <w:separator/>
      </w:r>
    </w:p>
  </w:endnote>
  <w:endnote w:type="continuationSeparator" w:id="0">
    <w:p w14:paraId="361FECAB" w14:textId="77777777" w:rsidR="0035714D" w:rsidRDefault="0035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7401" w14:textId="77777777" w:rsidR="001210C0" w:rsidRDefault="00121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5348" w14:textId="77777777" w:rsidR="001210C0" w:rsidRDefault="00121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2C1D" w14:textId="77777777" w:rsidR="001210C0" w:rsidRDefault="00121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5A3F" w14:textId="77777777" w:rsidR="0035714D" w:rsidRDefault="0035714D">
      <w:r>
        <w:separator/>
      </w:r>
    </w:p>
  </w:footnote>
  <w:footnote w:type="continuationSeparator" w:id="0">
    <w:p w14:paraId="38257FAF" w14:textId="77777777" w:rsidR="0035714D" w:rsidRDefault="0035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B67C" w14:textId="77777777" w:rsidR="001210C0" w:rsidRDefault="00121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FC5C" w14:textId="77777777" w:rsidR="001210C0" w:rsidRDefault="00121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91DBD"/>
    <w:rsid w:val="000A485C"/>
    <w:rsid w:val="000A7D73"/>
    <w:rsid w:val="000C3B2B"/>
    <w:rsid w:val="000E4999"/>
    <w:rsid w:val="00106786"/>
    <w:rsid w:val="00107638"/>
    <w:rsid w:val="00112618"/>
    <w:rsid w:val="001210C0"/>
    <w:rsid w:val="0016511A"/>
    <w:rsid w:val="00167D45"/>
    <w:rsid w:val="00176AEF"/>
    <w:rsid w:val="001B5343"/>
    <w:rsid w:val="001B5373"/>
    <w:rsid w:val="001C1388"/>
    <w:rsid w:val="001C3B34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5714D"/>
    <w:rsid w:val="00390C9F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482A"/>
    <w:rsid w:val="00807AFC"/>
    <w:rsid w:val="00814A45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4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97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aigns-gceurope.com/indirect-restorative-preparatio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2023-06-27T07:26:00Z</dcterms:created>
  <dcterms:modified xsi:type="dcterms:W3CDTF">2023-06-27T07:26:00Z</dcterms:modified>
</cp:coreProperties>
</file>