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6C33663" w14:textId="7E03B2F5" w:rsidR="0031159E" w:rsidRPr="004D1212" w:rsidRDefault="0031159E">
      <w:pPr>
        <w:spacing w:line="360" w:lineRule="auto"/>
        <w:ind w:right="497"/>
        <w:jc w:val="right"/>
        <w:rPr>
          <w:rFonts w:ascii="Verdana" w:eastAsia="Verdana" w:hAnsi="Verdana" w:cs="Verdana"/>
          <w:b/>
          <w:bCs/>
          <w:color w:val="auto"/>
          <w:sz w:val="30"/>
          <w:szCs w:val="30"/>
          <w:u w:val="single" w:color="404040"/>
        </w:rPr>
      </w:pPr>
      <w:proofErr w:type="spellStart"/>
      <w:r w:rsidRPr="004D1212">
        <w:rPr>
          <w:rFonts w:ascii="Verdana" w:hAnsi="Verdana"/>
          <w:b/>
          <w:bCs/>
          <w:color w:val="auto"/>
          <w:sz w:val="30"/>
          <w:szCs w:val="30"/>
          <w:u w:val="single" w:color="404040"/>
        </w:rPr>
        <w:t>Notatka</w:t>
      </w:r>
      <w:proofErr w:type="spellEnd"/>
      <w:r w:rsidRPr="004D1212">
        <w:rPr>
          <w:rFonts w:ascii="Verdana" w:hAnsi="Verdana"/>
          <w:b/>
          <w:bCs/>
          <w:color w:val="auto"/>
          <w:sz w:val="30"/>
          <w:szCs w:val="30"/>
          <w:u w:val="single" w:color="404040"/>
        </w:rPr>
        <w:t xml:space="preserve"> </w:t>
      </w:r>
      <w:proofErr w:type="spellStart"/>
      <w:r w:rsidRPr="004D1212">
        <w:rPr>
          <w:rFonts w:ascii="Verdana" w:hAnsi="Verdana"/>
          <w:b/>
          <w:bCs/>
          <w:color w:val="auto"/>
          <w:sz w:val="30"/>
          <w:szCs w:val="30"/>
          <w:u w:val="single" w:color="404040"/>
        </w:rPr>
        <w:t>prasowa</w:t>
      </w:r>
      <w:proofErr w:type="spellEnd"/>
    </w:p>
    <w:p w14:paraId="0C69B5D1" w14:textId="77777777" w:rsidR="00270FCD" w:rsidRPr="004D1212" w:rsidRDefault="00270FCD">
      <w:pPr>
        <w:spacing w:line="360" w:lineRule="auto"/>
        <w:jc w:val="both"/>
        <w:rPr>
          <w:rFonts w:ascii="Verdana" w:eastAsia="Verdana" w:hAnsi="Verdana" w:cs="Verdana"/>
          <w:color w:val="auto"/>
          <w:u w:val="single"/>
        </w:rPr>
      </w:pPr>
    </w:p>
    <w:p w14:paraId="51014184" w14:textId="5EC06E5B" w:rsidR="00C92AF6" w:rsidRPr="004D1212" w:rsidRDefault="00C92AF6">
      <w:pPr>
        <w:spacing w:line="360" w:lineRule="auto"/>
        <w:jc w:val="both"/>
        <w:rPr>
          <w:rFonts w:ascii="Verdana" w:eastAsia="Verdana" w:hAnsi="Verdana" w:cs="Verdana"/>
          <w:color w:val="auto"/>
          <w:u w:val="single"/>
          <w:lang w:val="pl-PL"/>
        </w:rPr>
      </w:pPr>
      <w:r w:rsidRPr="004D1212">
        <w:rPr>
          <w:rFonts w:ascii="Roboto" w:eastAsia="Times New Roman" w:hAnsi="Roboto" w:cs="Times New Roman"/>
          <w:color w:val="auto"/>
          <w:sz w:val="27"/>
          <w:szCs w:val="27"/>
          <w:u w:val="single"/>
          <w:bdr w:val="none" w:sz="0" w:space="0" w:color="auto"/>
          <w:lang w:val="pl-PL"/>
        </w:rPr>
        <w:t>Komisja Europejska przedstawia nową propozycję stopniowego</w:t>
      </w:r>
      <w:r w:rsidRPr="004D1212">
        <w:rPr>
          <w:rFonts w:ascii="Roboto" w:eastAsia="Times New Roman" w:hAnsi="Roboto" w:cs="Times New Roman"/>
          <w:color w:val="auto"/>
          <w:sz w:val="27"/>
          <w:szCs w:val="27"/>
          <w:u w:val="single"/>
          <w:bdr w:val="none" w:sz="0" w:space="0" w:color="auto"/>
          <w:lang w:val="pl-PL"/>
        </w:rPr>
        <w:br/>
        <w:t>wycofywania amalgamatu</w:t>
      </w:r>
    </w:p>
    <w:p w14:paraId="7861B3F1" w14:textId="10349176" w:rsidR="004C48D0" w:rsidRPr="004D1212" w:rsidRDefault="00E85011" w:rsidP="0072441C">
      <w:pPr>
        <w:spacing w:line="360" w:lineRule="auto"/>
        <w:jc w:val="both"/>
        <w:rPr>
          <w:rFonts w:ascii="Verdana" w:hAnsi="Verdana"/>
          <w:b/>
          <w:bCs/>
          <w:color w:val="auto"/>
          <w:sz w:val="28"/>
          <w:szCs w:val="28"/>
          <w:u w:color="404040"/>
          <w:lang w:val="pl-PL"/>
        </w:rPr>
      </w:pPr>
      <w:bookmarkStart w:id="0" w:name="_GoBack"/>
      <w:bookmarkEnd w:id="0"/>
      <w:r w:rsidRPr="004D1212">
        <w:rPr>
          <w:rFonts w:ascii="Verdana" w:hAnsi="Verdana"/>
          <w:b/>
          <w:bCs/>
          <w:color w:val="auto"/>
          <w:sz w:val="28"/>
          <w:szCs w:val="28"/>
          <w:u w:color="404040"/>
          <w:lang w:val="pl-PL"/>
        </w:rPr>
        <w:br/>
      </w:r>
      <w:r w:rsidRPr="004D1212">
        <w:rPr>
          <w:rFonts w:ascii="Roboto" w:eastAsia="Times New Roman" w:hAnsi="Roboto" w:cs="Times New Roman"/>
          <w:b/>
          <w:bCs/>
          <w:color w:val="auto"/>
          <w:sz w:val="28"/>
          <w:szCs w:val="28"/>
          <w:bdr w:val="none" w:sz="0" w:space="0" w:color="auto"/>
          <w:lang w:val="pl-PL"/>
        </w:rPr>
        <w:t>Zakaz stosowania amalgamatu idzie pełną parą… Jakie są alternatywy?</w:t>
      </w:r>
    </w:p>
    <w:p w14:paraId="400AC2CB" w14:textId="77777777" w:rsidR="007D7D19" w:rsidRPr="004D1212" w:rsidRDefault="007D7D19" w:rsidP="00A65A6F">
      <w:pPr>
        <w:spacing w:line="360" w:lineRule="auto"/>
        <w:jc w:val="both"/>
        <w:rPr>
          <w:rFonts w:ascii="Verdana" w:eastAsia="Verdana" w:hAnsi="Verdana" w:cs="Verdana"/>
          <w:color w:val="auto"/>
          <w:sz w:val="20"/>
          <w:szCs w:val="20"/>
          <w:u w:color="404040"/>
          <w:lang w:val="pl-PL"/>
        </w:rPr>
      </w:pPr>
    </w:p>
    <w:p w14:paraId="62262742" w14:textId="171C22B1" w:rsidR="00892790" w:rsidRPr="004D1212" w:rsidRDefault="00893360" w:rsidP="007D7D19">
      <w:pPr>
        <w:spacing w:line="360" w:lineRule="auto"/>
        <w:jc w:val="both"/>
        <w:rPr>
          <w:rFonts w:ascii="Verdana" w:eastAsia="Verdana" w:hAnsi="Verdana" w:cs="Verdana"/>
          <w:b/>
          <w:bCs/>
          <w:color w:val="auto"/>
          <w:sz w:val="20"/>
          <w:szCs w:val="20"/>
          <w:u w:color="404040"/>
          <w:lang w:val="pl-PL"/>
        </w:rPr>
      </w:pPr>
      <w:r w:rsidRPr="004D1212">
        <w:rPr>
          <w:rFonts w:ascii="Verdana" w:eastAsia="Verdana" w:hAnsi="Verdana" w:cs="Verdana"/>
          <w:b/>
          <w:bCs/>
          <w:color w:val="auto"/>
          <w:sz w:val="20"/>
          <w:szCs w:val="20"/>
          <w:u w:color="404040"/>
          <w:lang w:val="pl-PL"/>
        </w:rPr>
        <w:t xml:space="preserve">Amalgamat dentystyczny jest największym pozostałym źródłem </w:t>
      </w:r>
      <w:r w:rsidR="00963D1B" w:rsidRPr="004D1212">
        <w:rPr>
          <w:rFonts w:ascii="Verdana" w:eastAsia="Verdana" w:hAnsi="Verdana" w:cs="Verdana"/>
          <w:b/>
          <w:bCs/>
          <w:color w:val="auto"/>
          <w:sz w:val="20"/>
          <w:szCs w:val="20"/>
          <w:u w:color="404040"/>
          <w:lang w:val="pl-PL"/>
        </w:rPr>
        <w:t>intencjonalnego</w:t>
      </w:r>
      <w:r w:rsidRPr="004D1212">
        <w:rPr>
          <w:rFonts w:ascii="Verdana" w:eastAsia="Verdana" w:hAnsi="Verdana" w:cs="Verdana"/>
          <w:b/>
          <w:bCs/>
          <w:color w:val="auto"/>
          <w:sz w:val="20"/>
          <w:szCs w:val="20"/>
          <w:u w:color="404040"/>
          <w:lang w:val="pl-PL"/>
        </w:rPr>
        <w:t xml:space="preserve"> stosowania rtęci w Europie, szacowanym</w:t>
      </w:r>
      <w:r w:rsidR="004D7CBD" w:rsidRPr="004D1212">
        <w:rPr>
          <w:rFonts w:ascii="Verdana" w:eastAsia="Verdana" w:hAnsi="Verdana" w:cs="Verdana"/>
          <w:b/>
          <w:bCs/>
          <w:color w:val="auto"/>
          <w:sz w:val="20"/>
          <w:szCs w:val="20"/>
          <w:u w:color="404040"/>
          <w:lang w:val="pl-PL"/>
        </w:rPr>
        <w:t xml:space="preserve"> w 2019 roku</w:t>
      </w:r>
      <w:r w:rsidRPr="004D1212">
        <w:rPr>
          <w:rFonts w:ascii="Verdana" w:eastAsia="Verdana" w:hAnsi="Verdana" w:cs="Verdana"/>
          <w:b/>
          <w:bCs/>
          <w:color w:val="auto"/>
          <w:sz w:val="20"/>
          <w:szCs w:val="20"/>
          <w:u w:color="404040"/>
          <w:lang w:val="pl-PL"/>
        </w:rPr>
        <w:t xml:space="preserve"> na około 40 ton</w:t>
      </w:r>
      <w:r w:rsidR="004D7CBD" w:rsidRPr="004D1212">
        <w:rPr>
          <w:rFonts w:ascii="Verdana" w:eastAsia="Verdana" w:hAnsi="Verdana" w:cs="Verdana"/>
          <w:b/>
          <w:bCs/>
          <w:color w:val="auto"/>
          <w:sz w:val="20"/>
          <w:szCs w:val="20"/>
          <w:u w:color="404040"/>
          <w:lang w:val="pl-PL"/>
        </w:rPr>
        <w:t xml:space="preserve">. </w:t>
      </w:r>
      <w:r w:rsidR="00892790" w:rsidRPr="004D1212">
        <w:rPr>
          <w:rFonts w:ascii="Verdana" w:eastAsia="Verdana" w:hAnsi="Verdana" w:cs="Verdana"/>
          <w:b/>
          <w:bCs/>
          <w:color w:val="auto"/>
          <w:sz w:val="20"/>
          <w:szCs w:val="20"/>
          <w:u w:color="404040"/>
          <w:lang w:val="pl-PL"/>
        </w:rPr>
        <w:t xml:space="preserve">Jego negatywny wpływ na środowisko naturalne był głównym powodem globalnego wycofywania się z </w:t>
      </w:r>
      <w:r w:rsidR="00893249" w:rsidRPr="004D1212">
        <w:rPr>
          <w:rFonts w:ascii="Verdana" w:eastAsia="Verdana" w:hAnsi="Verdana" w:cs="Verdana"/>
          <w:b/>
          <w:bCs/>
          <w:color w:val="auto"/>
          <w:sz w:val="20"/>
          <w:szCs w:val="20"/>
          <w:u w:color="404040"/>
          <w:lang w:val="pl-PL"/>
        </w:rPr>
        <w:t xml:space="preserve">jego stosowania w </w:t>
      </w:r>
      <w:r w:rsidR="00892790" w:rsidRPr="004D1212">
        <w:rPr>
          <w:rFonts w:ascii="Verdana" w:eastAsia="Verdana" w:hAnsi="Verdana" w:cs="Verdana"/>
          <w:b/>
          <w:bCs/>
          <w:color w:val="auto"/>
          <w:sz w:val="20"/>
          <w:szCs w:val="20"/>
          <w:u w:color="404040"/>
          <w:lang w:val="pl-PL"/>
        </w:rPr>
        <w:t>ostatnich dziesięcioleciach.</w:t>
      </w:r>
    </w:p>
    <w:p w14:paraId="21463A62" w14:textId="77777777" w:rsidR="003C38C6" w:rsidRPr="004D1212" w:rsidRDefault="003C38C6" w:rsidP="007D7D19">
      <w:pPr>
        <w:spacing w:line="360" w:lineRule="auto"/>
        <w:jc w:val="both"/>
        <w:rPr>
          <w:rFonts w:ascii="Verdana" w:eastAsia="Verdana" w:hAnsi="Verdana" w:cs="Verdana"/>
          <w:color w:val="auto"/>
          <w:sz w:val="20"/>
          <w:szCs w:val="20"/>
          <w:u w:color="404040"/>
          <w:lang w:val="pl-PL"/>
        </w:rPr>
      </w:pPr>
    </w:p>
    <w:p w14:paraId="337C8168" w14:textId="012DDDA4" w:rsidR="002C2E03" w:rsidRPr="004D1212" w:rsidRDefault="002C2E03" w:rsidP="007D7D19">
      <w:pPr>
        <w:spacing w:line="360" w:lineRule="auto"/>
        <w:jc w:val="both"/>
        <w:rPr>
          <w:rFonts w:ascii="Verdana" w:hAnsi="Verdana" w:cstheme="majorHAnsi"/>
          <w:color w:val="auto"/>
          <w:sz w:val="20"/>
          <w:szCs w:val="20"/>
          <w:lang w:val="pl-PL"/>
        </w:rPr>
      </w:pPr>
      <w:r w:rsidRPr="004D1212">
        <w:rPr>
          <w:rFonts w:ascii="Verdana" w:hAnsi="Verdana" w:cstheme="majorHAnsi"/>
          <w:color w:val="auto"/>
          <w:sz w:val="20"/>
          <w:szCs w:val="20"/>
          <w:lang w:val="pl-PL"/>
        </w:rPr>
        <w:t>W dniu 14 lipca 2023 r. Rada Europejska przedstawiła oficjalną propozycję zakazu stosowania amalgamatu</w:t>
      </w:r>
      <w:r w:rsidR="009071E9" w:rsidRPr="004D1212">
        <w:rPr>
          <w:rFonts w:ascii="Verdana" w:hAnsi="Verdana" w:cstheme="majorHAnsi"/>
          <w:color w:val="auto"/>
          <w:sz w:val="20"/>
          <w:szCs w:val="20"/>
          <w:lang w:val="pl-PL"/>
        </w:rPr>
        <w:t>,</w:t>
      </w:r>
      <w:r w:rsidRPr="004D1212">
        <w:rPr>
          <w:rFonts w:ascii="Verdana" w:hAnsi="Verdana" w:cstheme="majorHAnsi"/>
          <w:color w:val="auto"/>
          <w:sz w:val="20"/>
          <w:szCs w:val="20"/>
          <w:lang w:val="pl-PL"/>
        </w:rPr>
        <w:t xml:space="preserve"> w przypadku jakiegokolwiek leczenia stomatologicznego</w:t>
      </w:r>
      <w:r w:rsidR="009071E9" w:rsidRPr="004D1212">
        <w:rPr>
          <w:rFonts w:ascii="Verdana" w:hAnsi="Verdana" w:cstheme="majorHAnsi"/>
          <w:color w:val="auto"/>
          <w:sz w:val="20"/>
          <w:szCs w:val="20"/>
          <w:lang w:val="pl-PL"/>
        </w:rPr>
        <w:t>,</w:t>
      </w:r>
      <w:r w:rsidRPr="004D1212">
        <w:rPr>
          <w:rFonts w:ascii="Verdana" w:hAnsi="Verdana" w:cstheme="majorHAnsi"/>
          <w:color w:val="auto"/>
          <w:sz w:val="20"/>
          <w:szCs w:val="20"/>
          <w:lang w:val="pl-PL"/>
        </w:rPr>
        <w:t xml:space="preserve"> w państwach członkowskich z dniem 1 stycznia 2025 r. Stosowanie amalgamatu dentystycznego u dzieci oraz kobiet w ciąży lub karmiących piersią zostało już</w:t>
      </w:r>
      <w:r w:rsidR="00F0043B" w:rsidRPr="004D1212">
        <w:rPr>
          <w:rFonts w:ascii="Verdana" w:hAnsi="Verdana" w:cstheme="majorHAnsi"/>
          <w:color w:val="auto"/>
          <w:sz w:val="20"/>
          <w:szCs w:val="20"/>
          <w:lang w:val="pl-PL"/>
        </w:rPr>
        <w:t>, poza kilkoma ścisłymi wyjątkami,</w:t>
      </w:r>
      <w:r w:rsidRPr="004D1212">
        <w:rPr>
          <w:rFonts w:ascii="Verdana" w:hAnsi="Verdana" w:cstheme="majorHAnsi"/>
          <w:color w:val="auto"/>
          <w:sz w:val="20"/>
          <w:szCs w:val="20"/>
          <w:lang w:val="pl-PL"/>
        </w:rPr>
        <w:t xml:space="preserve"> zakazane w UE </w:t>
      </w:r>
      <w:r w:rsidR="00CC4487" w:rsidRPr="004D1212">
        <w:rPr>
          <w:rFonts w:ascii="Verdana" w:hAnsi="Verdana" w:cstheme="majorHAnsi"/>
          <w:color w:val="auto"/>
          <w:sz w:val="20"/>
          <w:szCs w:val="20"/>
          <w:lang w:val="pl-PL"/>
        </w:rPr>
        <w:t>w roku</w:t>
      </w:r>
      <w:r w:rsidRPr="004D1212">
        <w:rPr>
          <w:rFonts w:ascii="Verdana" w:hAnsi="Verdana" w:cstheme="majorHAnsi"/>
          <w:color w:val="auto"/>
          <w:sz w:val="20"/>
          <w:szCs w:val="20"/>
          <w:lang w:val="pl-PL"/>
        </w:rPr>
        <w:t xml:space="preserve"> 2018. W obliczu nowych przepisów po raz kolejny podkreślono potrzebę alternatywnych rozwiązań.</w:t>
      </w:r>
    </w:p>
    <w:p w14:paraId="4664CFE1" w14:textId="33F6C7B5" w:rsidR="004C09B7" w:rsidRPr="004D1212" w:rsidRDefault="004C09B7" w:rsidP="007D7D19">
      <w:pPr>
        <w:spacing w:line="360" w:lineRule="auto"/>
        <w:jc w:val="both"/>
        <w:rPr>
          <w:rFonts w:ascii="Verdana" w:hAnsi="Verdana" w:cstheme="majorHAnsi"/>
          <w:color w:val="auto"/>
          <w:sz w:val="20"/>
          <w:szCs w:val="20"/>
          <w:lang w:val="pl-PL"/>
        </w:rPr>
      </w:pPr>
    </w:p>
    <w:p w14:paraId="539AEFA3" w14:textId="14D636E0" w:rsidR="00784B0D" w:rsidRPr="004D1212" w:rsidRDefault="00765CC3" w:rsidP="007D7D19">
      <w:pPr>
        <w:spacing w:line="360" w:lineRule="auto"/>
        <w:jc w:val="both"/>
        <w:rPr>
          <w:rFonts w:ascii="Verdana" w:hAnsi="Verdana" w:cstheme="majorHAnsi"/>
          <w:color w:val="auto"/>
          <w:sz w:val="20"/>
          <w:szCs w:val="20"/>
          <w:lang w:val="pl-PL"/>
        </w:rPr>
      </w:pPr>
      <w:r w:rsidRPr="004D1212">
        <w:rPr>
          <w:rFonts w:ascii="Verdana" w:hAnsi="Verdana" w:cstheme="majorHAnsi"/>
          <w:color w:val="auto"/>
          <w:sz w:val="20"/>
          <w:szCs w:val="20"/>
          <w:lang w:val="pl-PL"/>
        </w:rPr>
        <w:t>GC</w:t>
      </w:r>
      <w:r w:rsidR="00E6116B" w:rsidRPr="004D1212">
        <w:rPr>
          <w:rFonts w:ascii="Verdana" w:hAnsi="Verdana" w:cstheme="majorHAnsi"/>
          <w:color w:val="auto"/>
          <w:sz w:val="20"/>
          <w:szCs w:val="20"/>
          <w:lang w:val="pl-PL"/>
        </w:rPr>
        <w:t xml:space="preserve"> </w:t>
      </w:r>
      <w:r w:rsidR="00E21C9F" w:rsidRPr="004D1212">
        <w:rPr>
          <w:rFonts w:ascii="Verdana" w:hAnsi="Verdana" w:cstheme="majorHAnsi"/>
          <w:color w:val="auto"/>
          <w:sz w:val="20"/>
          <w:szCs w:val="20"/>
          <w:lang w:val="pl-PL"/>
        </w:rPr>
        <w:t>od wielu lat</w:t>
      </w:r>
      <w:r w:rsidR="00E6116B" w:rsidRPr="004D1212">
        <w:rPr>
          <w:rFonts w:ascii="Verdana" w:hAnsi="Verdana" w:cstheme="majorHAnsi"/>
          <w:color w:val="auto"/>
          <w:sz w:val="20"/>
          <w:szCs w:val="20"/>
          <w:lang w:val="pl-PL"/>
        </w:rPr>
        <w:t xml:space="preserve"> </w:t>
      </w:r>
      <w:r w:rsidRPr="004D1212">
        <w:rPr>
          <w:rFonts w:ascii="Verdana" w:hAnsi="Verdana" w:cstheme="majorHAnsi"/>
          <w:color w:val="auto"/>
          <w:sz w:val="20"/>
          <w:szCs w:val="20"/>
          <w:lang w:val="pl-PL"/>
        </w:rPr>
        <w:t>pr</w:t>
      </w:r>
      <w:r w:rsidR="00E21C9F" w:rsidRPr="004D1212">
        <w:rPr>
          <w:rFonts w:ascii="Verdana" w:hAnsi="Verdana" w:cstheme="majorHAnsi"/>
          <w:color w:val="auto"/>
          <w:sz w:val="20"/>
          <w:szCs w:val="20"/>
          <w:lang w:val="pl-PL"/>
        </w:rPr>
        <w:t xml:space="preserve">zewidywała </w:t>
      </w:r>
      <w:r w:rsidRPr="004D1212">
        <w:rPr>
          <w:rFonts w:ascii="Verdana" w:hAnsi="Verdana" w:cstheme="majorHAnsi"/>
          <w:color w:val="auto"/>
          <w:sz w:val="20"/>
          <w:szCs w:val="20"/>
          <w:lang w:val="pl-PL"/>
        </w:rPr>
        <w:t xml:space="preserve">wycofanie amalgamatu. "Obecnie na rynku istnieje kilka realnych, </w:t>
      </w:r>
      <w:r w:rsidR="00B225F6" w:rsidRPr="004D1212">
        <w:rPr>
          <w:rFonts w:ascii="Verdana" w:hAnsi="Verdana" w:cstheme="majorHAnsi"/>
          <w:color w:val="auto"/>
          <w:sz w:val="20"/>
          <w:szCs w:val="20"/>
          <w:lang w:val="pl-PL"/>
        </w:rPr>
        <w:t xml:space="preserve">niezawierających rtęci </w:t>
      </w:r>
      <w:r w:rsidRPr="004D1212">
        <w:rPr>
          <w:rFonts w:ascii="Verdana" w:hAnsi="Verdana" w:cstheme="majorHAnsi"/>
          <w:color w:val="auto"/>
          <w:sz w:val="20"/>
          <w:szCs w:val="20"/>
          <w:lang w:val="pl-PL"/>
        </w:rPr>
        <w:t xml:space="preserve">alternatyw, musimy </w:t>
      </w:r>
      <w:r w:rsidR="00B225F6" w:rsidRPr="004D1212">
        <w:rPr>
          <w:rFonts w:ascii="Verdana" w:hAnsi="Verdana" w:cstheme="majorHAnsi"/>
          <w:color w:val="auto"/>
          <w:sz w:val="20"/>
          <w:szCs w:val="20"/>
          <w:lang w:val="pl-PL"/>
        </w:rPr>
        <w:t>jednak mieć pewność</w:t>
      </w:r>
      <w:r w:rsidRPr="004D1212">
        <w:rPr>
          <w:rFonts w:ascii="Verdana" w:hAnsi="Verdana" w:cstheme="majorHAnsi"/>
          <w:color w:val="auto"/>
          <w:sz w:val="20"/>
          <w:szCs w:val="20"/>
          <w:lang w:val="pl-PL"/>
        </w:rPr>
        <w:t>, że</w:t>
      </w:r>
      <w:r w:rsidR="00A5649A" w:rsidRPr="004D1212">
        <w:rPr>
          <w:rFonts w:ascii="Verdana" w:hAnsi="Verdana" w:cstheme="majorHAnsi"/>
          <w:color w:val="auto"/>
          <w:sz w:val="20"/>
          <w:szCs w:val="20"/>
          <w:lang w:val="pl-PL"/>
        </w:rPr>
        <w:t xml:space="preserve"> </w:t>
      </w:r>
      <w:r w:rsidR="00AA632B" w:rsidRPr="004D1212">
        <w:rPr>
          <w:rFonts w:ascii="Verdana" w:hAnsi="Verdana" w:cstheme="majorHAnsi"/>
          <w:color w:val="auto"/>
          <w:sz w:val="20"/>
          <w:szCs w:val="20"/>
          <w:lang w:val="pl-PL"/>
        </w:rPr>
        <w:t>będą</w:t>
      </w:r>
      <w:r w:rsidR="00A5649A" w:rsidRPr="004D1212">
        <w:rPr>
          <w:rFonts w:ascii="Verdana" w:hAnsi="Verdana" w:cstheme="majorHAnsi"/>
          <w:color w:val="auto"/>
          <w:sz w:val="20"/>
          <w:szCs w:val="20"/>
          <w:lang w:val="pl-PL"/>
        </w:rPr>
        <w:t xml:space="preserve"> one</w:t>
      </w:r>
      <w:r w:rsidR="00AA632B" w:rsidRPr="004D1212">
        <w:rPr>
          <w:rFonts w:ascii="Verdana" w:hAnsi="Verdana" w:cstheme="majorHAnsi"/>
          <w:color w:val="auto"/>
          <w:sz w:val="20"/>
          <w:szCs w:val="20"/>
          <w:lang w:val="pl-PL"/>
        </w:rPr>
        <w:t xml:space="preserve"> spełniać wszystkie </w:t>
      </w:r>
      <w:r w:rsidRPr="004D1212">
        <w:rPr>
          <w:rFonts w:ascii="Verdana" w:hAnsi="Verdana" w:cstheme="majorHAnsi"/>
          <w:color w:val="auto"/>
          <w:sz w:val="20"/>
          <w:szCs w:val="20"/>
          <w:lang w:val="pl-PL"/>
        </w:rPr>
        <w:t>wymagania, również z perspektywy pacjenta" - stwierdził Bart Dopheide, General Manager Scientific Services w GC Europe</w:t>
      </w:r>
      <w:r w:rsidR="00762E8A" w:rsidRPr="004D1212">
        <w:rPr>
          <w:rFonts w:ascii="Verdana" w:hAnsi="Verdana" w:cstheme="majorHAnsi"/>
          <w:color w:val="auto"/>
          <w:sz w:val="20"/>
          <w:szCs w:val="20"/>
          <w:lang w:val="pl-PL"/>
        </w:rPr>
        <w:t>.</w:t>
      </w:r>
    </w:p>
    <w:p w14:paraId="2D5E76AB" w14:textId="4BBD23F3" w:rsidR="007878B8" w:rsidRPr="004D1212" w:rsidRDefault="004D1212" w:rsidP="007D7D19">
      <w:pPr>
        <w:spacing w:line="360" w:lineRule="auto"/>
        <w:jc w:val="both"/>
        <w:rPr>
          <w:rFonts w:ascii="Verdana" w:hAnsi="Verdana" w:cstheme="majorHAnsi"/>
          <w:color w:val="auto"/>
          <w:sz w:val="20"/>
          <w:szCs w:val="20"/>
          <w:lang w:val="pl-PL"/>
        </w:rPr>
      </w:pPr>
      <w:r w:rsidRPr="004D1212">
        <w:rPr>
          <w:rFonts w:ascii="Verdana" w:hAnsi="Verdana" w:cstheme="majorHAnsi"/>
          <w:color w:val="auto"/>
          <w:sz w:val="20"/>
          <w:szCs w:val="20"/>
          <w:lang w:val="pl-PL"/>
        </w:rPr>
        <w:t xml:space="preserve"> </w:t>
      </w:r>
      <w:r w:rsidR="00AB080C" w:rsidRPr="004D1212">
        <w:rPr>
          <w:rFonts w:ascii="Verdana" w:hAnsi="Verdana" w:cstheme="majorHAnsi"/>
          <w:color w:val="auto"/>
          <w:sz w:val="20"/>
          <w:szCs w:val="20"/>
          <w:lang w:val="pl-PL"/>
        </w:rPr>
        <w:t>„</w:t>
      </w:r>
      <w:r w:rsidR="00931AEB" w:rsidRPr="004D1212">
        <w:rPr>
          <w:rFonts w:ascii="Verdana" w:hAnsi="Verdana" w:cstheme="majorHAnsi"/>
          <w:color w:val="auto"/>
          <w:sz w:val="20"/>
          <w:szCs w:val="20"/>
          <w:lang w:val="pl-PL"/>
        </w:rPr>
        <w:t>Bezpośrednie porównani</w:t>
      </w:r>
      <w:r w:rsidR="00B12AAF" w:rsidRPr="004D1212">
        <w:rPr>
          <w:rFonts w:ascii="Verdana" w:hAnsi="Verdana" w:cstheme="majorHAnsi"/>
          <w:color w:val="auto"/>
          <w:sz w:val="20"/>
          <w:szCs w:val="20"/>
          <w:lang w:val="pl-PL"/>
        </w:rPr>
        <w:t>e</w:t>
      </w:r>
      <w:r w:rsidR="00080221" w:rsidRPr="004D1212">
        <w:rPr>
          <w:rFonts w:ascii="Verdana" w:hAnsi="Verdana" w:cstheme="majorHAnsi"/>
          <w:color w:val="auto"/>
          <w:sz w:val="20"/>
          <w:szCs w:val="20"/>
          <w:lang w:val="pl-PL"/>
        </w:rPr>
        <w:t xml:space="preserve"> uzupełnień wykonanych z </w:t>
      </w:r>
      <w:r w:rsidR="005A6C41" w:rsidRPr="004D1212">
        <w:rPr>
          <w:rFonts w:ascii="Verdana" w:hAnsi="Verdana" w:cstheme="majorHAnsi"/>
          <w:color w:val="auto"/>
          <w:sz w:val="20"/>
          <w:szCs w:val="20"/>
          <w:lang w:val="pl-PL"/>
        </w:rPr>
        <w:t>szklano-hybrydo</w:t>
      </w:r>
      <w:r w:rsidR="008045C0" w:rsidRPr="004D1212">
        <w:rPr>
          <w:rFonts w:ascii="Verdana" w:hAnsi="Verdana" w:cstheme="majorHAnsi"/>
          <w:color w:val="auto"/>
          <w:sz w:val="20"/>
          <w:szCs w:val="20"/>
          <w:lang w:val="pl-PL"/>
        </w:rPr>
        <w:t>w</w:t>
      </w:r>
      <w:r w:rsidR="00080221" w:rsidRPr="004D1212">
        <w:rPr>
          <w:rFonts w:ascii="Verdana" w:hAnsi="Verdana" w:cstheme="majorHAnsi"/>
          <w:color w:val="auto"/>
          <w:sz w:val="20"/>
          <w:szCs w:val="20"/>
          <w:lang w:val="pl-PL"/>
        </w:rPr>
        <w:t xml:space="preserve">ego materiału </w:t>
      </w:r>
      <w:r w:rsidR="00CF5307" w:rsidRPr="004D1212">
        <w:rPr>
          <w:rFonts w:ascii="Verdana" w:hAnsi="Verdana" w:cstheme="majorHAnsi"/>
          <w:color w:val="auto"/>
          <w:sz w:val="20"/>
          <w:szCs w:val="20"/>
          <w:lang w:val="pl-PL"/>
        </w:rPr>
        <w:t xml:space="preserve">odtwórczego </w:t>
      </w:r>
      <w:r w:rsidR="005A6C41" w:rsidRPr="004D1212">
        <w:rPr>
          <w:rFonts w:ascii="Verdana" w:hAnsi="Verdana" w:cstheme="majorHAnsi"/>
          <w:color w:val="auto"/>
          <w:sz w:val="20"/>
          <w:szCs w:val="20"/>
          <w:lang w:val="pl-PL"/>
        </w:rPr>
        <w:t xml:space="preserve">EQUIA Forte </w:t>
      </w:r>
      <w:r w:rsidR="00CF5307" w:rsidRPr="004D1212">
        <w:rPr>
          <w:rFonts w:ascii="Verdana" w:hAnsi="Verdana" w:cstheme="majorHAnsi"/>
          <w:color w:val="auto"/>
          <w:sz w:val="20"/>
          <w:szCs w:val="20"/>
          <w:lang w:val="pl-PL"/>
        </w:rPr>
        <w:t xml:space="preserve">z </w:t>
      </w:r>
      <w:r w:rsidR="00931AEB" w:rsidRPr="004D1212">
        <w:rPr>
          <w:rFonts w:ascii="Verdana" w:hAnsi="Verdana" w:cstheme="majorHAnsi"/>
          <w:color w:val="auto"/>
          <w:sz w:val="20"/>
          <w:szCs w:val="20"/>
          <w:lang w:val="pl-PL"/>
        </w:rPr>
        <w:t xml:space="preserve">uzupełnieniami kompozytowymi - kompozyt jest nowym </w:t>
      </w:r>
      <w:r w:rsidR="00AB080C" w:rsidRPr="004D1212">
        <w:rPr>
          <w:rFonts w:ascii="Verdana" w:hAnsi="Verdana" w:cstheme="majorHAnsi"/>
          <w:color w:val="auto"/>
          <w:sz w:val="20"/>
          <w:szCs w:val="20"/>
          <w:lang w:val="pl-PL"/>
        </w:rPr>
        <w:t>„</w:t>
      </w:r>
      <w:r w:rsidR="00931AEB" w:rsidRPr="004D1212">
        <w:rPr>
          <w:rFonts w:ascii="Verdana" w:hAnsi="Verdana" w:cstheme="majorHAnsi"/>
          <w:color w:val="auto"/>
          <w:sz w:val="20"/>
          <w:szCs w:val="20"/>
          <w:lang w:val="pl-PL"/>
        </w:rPr>
        <w:t>złotym standardem</w:t>
      </w:r>
      <w:r w:rsidR="00AB080C" w:rsidRPr="004D1212">
        <w:rPr>
          <w:rFonts w:ascii="Verdana" w:hAnsi="Verdana" w:cstheme="majorHAnsi"/>
          <w:color w:val="auto"/>
          <w:sz w:val="20"/>
          <w:szCs w:val="20"/>
          <w:lang w:val="pl-PL"/>
        </w:rPr>
        <w:t>”</w:t>
      </w:r>
      <w:r w:rsidR="00931AEB" w:rsidRPr="004D1212">
        <w:rPr>
          <w:rFonts w:ascii="Verdana" w:hAnsi="Verdana" w:cstheme="majorHAnsi"/>
          <w:color w:val="auto"/>
          <w:sz w:val="20"/>
          <w:szCs w:val="20"/>
          <w:lang w:val="pl-PL"/>
        </w:rPr>
        <w:t xml:space="preserve"> dla uzupełnień bezpośrednich</w:t>
      </w:r>
      <w:r w:rsidR="00AB080C" w:rsidRPr="004D1212">
        <w:rPr>
          <w:rFonts w:ascii="Verdana" w:hAnsi="Verdana" w:cstheme="majorHAnsi"/>
          <w:color w:val="auto"/>
          <w:sz w:val="20"/>
          <w:szCs w:val="20"/>
          <w:lang w:val="pl-PL"/>
        </w:rPr>
        <w:t>”</w:t>
      </w:r>
      <w:r w:rsidR="00931AEB" w:rsidRPr="004D1212">
        <w:rPr>
          <w:rFonts w:ascii="Verdana" w:hAnsi="Verdana" w:cstheme="majorHAnsi"/>
          <w:color w:val="auto"/>
          <w:sz w:val="20"/>
          <w:szCs w:val="20"/>
          <w:lang w:val="pl-PL"/>
        </w:rPr>
        <w:t xml:space="preserve"> - w niezależnych akademickich badaniach</w:t>
      </w:r>
      <w:r w:rsidR="00CF5307" w:rsidRPr="004D1212">
        <w:rPr>
          <w:rFonts w:ascii="Verdana" w:hAnsi="Verdana" w:cstheme="majorHAnsi"/>
          <w:color w:val="auto"/>
          <w:sz w:val="20"/>
          <w:szCs w:val="20"/>
          <w:lang w:val="pl-PL"/>
        </w:rPr>
        <w:t>,</w:t>
      </w:r>
      <w:r w:rsidR="00931AEB" w:rsidRPr="004D1212">
        <w:rPr>
          <w:rFonts w:ascii="Verdana" w:hAnsi="Verdana" w:cstheme="majorHAnsi"/>
          <w:color w:val="auto"/>
          <w:sz w:val="20"/>
          <w:szCs w:val="20"/>
          <w:lang w:val="pl-PL"/>
        </w:rPr>
        <w:t xml:space="preserve"> dotyczących efektywności kosztowej</w:t>
      </w:r>
      <w:r w:rsidR="00CF5307" w:rsidRPr="004D1212">
        <w:rPr>
          <w:rFonts w:ascii="Verdana" w:hAnsi="Verdana" w:cstheme="majorHAnsi"/>
          <w:color w:val="auto"/>
          <w:sz w:val="20"/>
          <w:szCs w:val="20"/>
          <w:lang w:val="pl-PL"/>
        </w:rPr>
        <w:t xml:space="preserve">, które </w:t>
      </w:r>
      <w:r w:rsidR="00931AEB" w:rsidRPr="004D1212">
        <w:rPr>
          <w:rFonts w:ascii="Verdana" w:hAnsi="Verdana" w:cstheme="majorHAnsi"/>
          <w:color w:val="auto"/>
          <w:sz w:val="20"/>
          <w:szCs w:val="20"/>
          <w:lang w:val="pl-PL"/>
        </w:rPr>
        <w:t>obejmowały zarówno koszty początkowe, jak i koszty ponowne</w:t>
      </w:r>
      <w:r w:rsidR="000B6AAB" w:rsidRPr="004D1212">
        <w:rPr>
          <w:rFonts w:ascii="Verdana" w:hAnsi="Verdana" w:cstheme="majorHAnsi"/>
          <w:color w:val="auto"/>
          <w:sz w:val="20"/>
          <w:szCs w:val="20"/>
          <w:lang w:val="pl-PL"/>
        </w:rPr>
        <w:t>go leczenia</w:t>
      </w:r>
      <w:r w:rsidR="00931AEB" w:rsidRPr="004D1212">
        <w:rPr>
          <w:rFonts w:ascii="Verdana" w:hAnsi="Verdana" w:cstheme="majorHAnsi"/>
          <w:color w:val="auto"/>
          <w:sz w:val="20"/>
          <w:szCs w:val="20"/>
          <w:lang w:val="pl-PL"/>
        </w:rPr>
        <w:t xml:space="preserve">, </w:t>
      </w:r>
      <w:r w:rsidR="00B12AAF" w:rsidRPr="004D1212">
        <w:rPr>
          <w:rFonts w:ascii="Verdana" w:hAnsi="Verdana" w:cstheme="majorHAnsi"/>
          <w:color w:val="auto"/>
          <w:sz w:val="20"/>
          <w:szCs w:val="20"/>
          <w:lang w:val="pl-PL"/>
        </w:rPr>
        <w:t xml:space="preserve">wykazało, </w:t>
      </w:r>
      <w:r w:rsidR="007C7273" w:rsidRPr="004D1212">
        <w:rPr>
          <w:rFonts w:ascii="Verdana" w:hAnsi="Verdana" w:cstheme="majorHAnsi"/>
          <w:color w:val="auto"/>
          <w:sz w:val="20"/>
          <w:szCs w:val="20"/>
          <w:lang w:val="pl-PL"/>
        </w:rPr>
        <w:t>że</w:t>
      </w:r>
      <w:r w:rsidR="00D46652" w:rsidRPr="004D1212">
        <w:rPr>
          <w:rFonts w:ascii="Verdana" w:hAnsi="Verdana" w:cstheme="majorHAnsi"/>
          <w:color w:val="auto"/>
          <w:sz w:val="20"/>
          <w:szCs w:val="20"/>
          <w:lang w:val="pl-PL"/>
        </w:rPr>
        <w:t xml:space="preserve"> szklano-hybrydowy materiał odtwórczy jest kosztowo bardziej efektywny.</w:t>
      </w:r>
      <w:r w:rsidR="00B47E71" w:rsidRPr="004D1212">
        <w:rPr>
          <w:rFonts w:ascii="Verdana" w:hAnsi="Verdana" w:cstheme="majorHAnsi"/>
          <w:color w:val="auto"/>
          <w:sz w:val="20"/>
          <w:szCs w:val="20"/>
          <w:lang w:val="pl-PL"/>
        </w:rPr>
        <w:t xml:space="preserve"> </w:t>
      </w:r>
    </w:p>
    <w:p w14:paraId="7483A26A" w14:textId="3218F114" w:rsidR="00377CFB" w:rsidRPr="004D1212" w:rsidRDefault="007F2877" w:rsidP="007D7D19">
      <w:pPr>
        <w:spacing w:line="360" w:lineRule="auto"/>
        <w:jc w:val="both"/>
        <w:rPr>
          <w:rFonts w:ascii="Verdana" w:hAnsi="Verdana" w:cstheme="majorHAnsi"/>
          <w:color w:val="auto"/>
          <w:sz w:val="20"/>
          <w:szCs w:val="20"/>
          <w:lang w:val="pl-PL"/>
        </w:rPr>
      </w:pPr>
      <w:r w:rsidRPr="004D1212">
        <w:rPr>
          <w:rFonts w:ascii="Verdana" w:hAnsi="Verdana" w:cstheme="majorHAnsi"/>
          <w:color w:val="auto"/>
          <w:sz w:val="20"/>
          <w:szCs w:val="20"/>
          <w:lang w:val="pl-PL"/>
        </w:rPr>
        <w:lastRenderedPageBreak/>
        <w:t xml:space="preserve">Tego typu badania są bardzo ważne, biorąc pod uwagę przejście na alternatywne rozwiązania, które mają być </w:t>
      </w:r>
      <w:r w:rsidR="00E21C91" w:rsidRPr="004D1212">
        <w:rPr>
          <w:rFonts w:ascii="Verdana" w:hAnsi="Verdana" w:cstheme="majorHAnsi"/>
          <w:color w:val="auto"/>
          <w:sz w:val="20"/>
          <w:szCs w:val="20"/>
          <w:lang w:val="pl-PL"/>
        </w:rPr>
        <w:t xml:space="preserve">dostępne w </w:t>
      </w:r>
      <w:r w:rsidRPr="004D1212">
        <w:rPr>
          <w:rFonts w:ascii="Verdana" w:hAnsi="Verdana" w:cstheme="majorHAnsi"/>
          <w:color w:val="auto"/>
          <w:sz w:val="20"/>
          <w:szCs w:val="20"/>
          <w:lang w:val="pl-PL"/>
        </w:rPr>
        <w:t>systema</w:t>
      </w:r>
      <w:r w:rsidR="00C6168A" w:rsidRPr="004D1212">
        <w:rPr>
          <w:rFonts w:ascii="Verdana" w:hAnsi="Verdana" w:cstheme="majorHAnsi"/>
          <w:color w:val="auto"/>
          <w:sz w:val="20"/>
          <w:szCs w:val="20"/>
          <w:lang w:val="pl-PL"/>
        </w:rPr>
        <w:t>ch</w:t>
      </w:r>
      <w:r w:rsidR="001006E3" w:rsidRPr="004D1212">
        <w:rPr>
          <w:rFonts w:ascii="Verdana" w:hAnsi="Verdana" w:cstheme="majorHAnsi"/>
          <w:color w:val="auto"/>
          <w:sz w:val="20"/>
          <w:szCs w:val="20"/>
          <w:lang w:val="pl-PL"/>
        </w:rPr>
        <w:t xml:space="preserve"> </w:t>
      </w:r>
      <w:r w:rsidRPr="004D1212">
        <w:rPr>
          <w:rFonts w:ascii="Verdana" w:hAnsi="Verdana" w:cstheme="majorHAnsi"/>
          <w:color w:val="auto"/>
          <w:sz w:val="20"/>
          <w:szCs w:val="20"/>
          <w:lang w:val="pl-PL"/>
        </w:rPr>
        <w:t>ubezpieczeń społecznych i prywatn</w:t>
      </w:r>
      <w:r w:rsidR="00E21C91" w:rsidRPr="004D1212">
        <w:rPr>
          <w:rFonts w:ascii="Verdana" w:hAnsi="Verdana" w:cstheme="majorHAnsi"/>
          <w:color w:val="auto"/>
          <w:sz w:val="20"/>
          <w:szCs w:val="20"/>
          <w:lang w:val="pl-PL"/>
        </w:rPr>
        <w:t>ej</w:t>
      </w:r>
      <w:r w:rsidRPr="004D1212">
        <w:rPr>
          <w:rFonts w:ascii="Verdana" w:hAnsi="Verdana" w:cstheme="majorHAnsi"/>
          <w:color w:val="auto"/>
          <w:sz w:val="20"/>
          <w:szCs w:val="20"/>
          <w:lang w:val="pl-PL"/>
        </w:rPr>
        <w:t xml:space="preserve"> opie</w:t>
      </w:r>
      <w:r w:rsidR="00E21C91" w:rsidRPr="004D1212">
        <w:rPr>
          <w:rFonts w:ascii="Verdana" w:hAnsi="Verdana" w:cstheme="majorHAnsi"/>
          <w:color w:val="auto"/>
          <w:sz w:val="20"/>
          <w:szCs w:val="20"/>
          <w:lang w:val="pl-PL"/>
        </w:rPr>
        <w:t>ce</w:t>
      </w:r>
      <w:r w:rsidRPr="004D1212">
        <w:rPr>
          <w:rFonts w:ascii="Verdana" w:hAnsi="Verdana" w:cstheme="majorHAnsi"/>
          <w:color w:val="auto"/>
          <w:sz w:val="20"/>
          <w:szCs w:val="20"/>
          <w:lang w:val="pl-PL"/>
        </w:rPr>
        <w:t xml:space="preserve"> zdrowotn</w:t>
      </w:r>
      <w:r w:rsidR="00E21C91" w:rsidRPr="004D1212">
        <w:rPr>
          <w:rFonts w:ascii="Verdana" w:hAnsi="Verdana" w:cstheme="majorHAnsi"/>
          <w:color w:val="auto"/>
          <w:sz w:val="20"/>
          <w:szCs w:val="20"/>
          <w:lang w:val="pl-PL"/>
        </w:rPr>
        <w:t>ej</w:t>
      </w:r>
      <w:r w:rsidRPr="004D1212">
        <w:rPr>
          <w:rFonts w:ascii="Verdana" w:hAnsi="Verdana" w:cstheme="majorHAnsi"/>
          <w:color w:val="auto"/>
          <w:sz w:val="20"/>
          <w:szCs w:val="20"/>
          <w:lang w:val="pl-PL"/>
        </w:rPr>
        <w:t>, aby opieka zdrowotna nad jamą ustną była dostępna dla każdego. Co więcej, są one mniej wrażliwe na technikę</w:t>
      </w:r>
      <w:r w:rsidR="0085122A" w:rsidRPr="004D1212">
        <w:rPr>
          <w:rFonts w:ascii="Verdana" w:hAnsi="Verdana" w:cstheme="majorHAnsi"/>
          <w:color w:val="auto"/>
          <w:sz w:val="20"/>
          <w:szCs w:val="20"/>
          <w:lang w:val="pl-PL"/>
        </w:rPr>
        <w:t xml:space="preserve"> pracy</w:t>
      </w:r>
      <w:r w:rsidRPr="004D1212">
        <w:rPr>
          <w:rFonts w:ascii="Verdana" w:hAnsi="Verdana" w:cstheme="majorHAnsi"/>
          <w:color w:val="auto"/>
          <w:sz w:val="20"/>
          <w:szCs w:val="20"/>
          <w:lang w:val="pl-PL"/>
        </w:rPr>
        <w:t>, co sprawia, że ich</w:t>
      </w:r>
      <w:r w:rsidR="00B26FF5" w:rsidRPr="004D1212">
        <w:rPr>
          <w:rFonts w:ascii="Verdana" w:hAnsi="Verdana" w:cstheme="majorHAnsi"/>
          <w:color w:val="auto"/>
          <w:sz w:val="20"/>
          <w:szCs w:val="20"/>
          <w:lang w:val="pl-PL"/>
        </w:rPr>
        <w:t xml:space="preserve"> </w:t>
      </w:r>
      <w:r w:rsidR="00D10CF5" w:rsidRPr="004D1212">
        <w:rPr>
          <w:rFonts w:ascii="Verdana" w:hAnsi="Verdana" w:cstheme="majorHAnsi"/>
          <w:color w:val="auto"/>
          <w:sz w:val="20"/>
          <w:szCs w:val="20"/>
          <w:lang w:val="pl-PL"/>
        </w:rPr>
        <w:t>st</w:t>
      </w:r>
      <w:r w:rsidR="00AA2E4A" w:rsidRPr="004D1212">
        <w:rPr>
          <w:rFonts w:ascii="Verdana" w:hAnsi="Verdana" w:cstheme="majorHAnsi"/>
          <w:color w:val="auto"/>
          <w:sz w:val="20"/>
          <w:szCs w:val="20"/>
          <w:lang w:val="pl-PL"/>
        </w:rPr>
        <w:t>osowanie</w:t>
      </w:r>
      <w:r w:rsidRPr="004D1212">
        <w:rPr>
          <w:rFonts w:ascii="Verdana" w:hAnsi="Verdana" w:cstheme="majorHAnsi"/>
          <w:color w:val="auto"/>
          <w:sz w:val="20"/>
          <w:szCs w:val="20"/>
          <w:lang w:val="pl-PL"/>
        </w:rPr>
        <w:t xml:space="preserve"> jest</w:t>
      </w:r>
      <w:r w:rsidR="00B26FF5" w:rsidRPr="004D1212">
        <w:rPr>
          <w:rFonts w:ascii="Verdana" w:hAnsi="Verdana" w:cstheme="majorHAnsi"/>
          <w:color w:val="auto"/>
          <w:sz w:val="20"/>
          <w:szCs w:val="20"/>
          <w:lang w:val="pl-PL"/>
        </w:rPr>
        <w:t xml:space="preserve"> </w:t>
      </w:r>
      <w:r w:rsidRPr="004D1212">
        <w:rPr>
          <w:rFonts w:ascii="Verdana" w:hAnsi="Verdana" w:cstheme="majorHAnsi"/>
          <w:color w:val="auto"/>
          <w:sz w:val="20"/>
          <w:szCs w:val="20"/>
          <w:lang w:val="pl-PL"/>
        </w:rPr>
        <w:t>porównywalne z</w:t>
      </w:r>
      <w:r w:rsidR="00762E8A" w:rsidRPr="004D1212">
        <w:rPr>
          <w:rFonts w:ascii="Verdana" w:hAnsi="Verdana" w:cstheme="majorHAnsi"/>
          <w:color w:val="auto"/>
          <w:sz w:val="20"/>
          <w:szCs w:val="20"/>
          <w:lang w:val="pl-PL"/>
        </w:rPr>
        <w:t>e</w:t>
      </w:r>
      <w:r w:rsidRPr="004D1212">
        <w:rPr>
          <w:rFonts w:ascii="Verdana" w:hAnsi="Verdana" w:cstheme="majorHAnsi"/>
          <w:color w:val="auto"/>
          <w:sz w:val="20"/>
          <w:szCs w:val="20"/>
          <w:lang w:val="pl-PL"/>
        </w:rPr>
        <w:t xml:space="preserve"> </w:t>
      </w:r>
      <w:r w:rsidR="00AA2E4A" w:rsidRPr="004D1212">
        <w:rPr>
          <w:rFonts w:ascii="Verdana" w:hAnsi="Verdana" w:cstheme="majorHAnsi"/>
          <w:color w:val="auto"/>
          <w:sz w:val="20"/>
          <w:szCs w:val="20"/>
          <w:lang w:val="pl-PL"/>
        </w:rPr>
        <w:t>stosowaniem</w:t>
      </w:r>
      <w:r w:rsidR="00AD6AD8" w:rsidRPr="004D1212">
        <w:rPr>
          <w:rFonts w:ascii="Verdana" w:hAnsi="Verdana" w:cstheme="majorHAnsi"/>
          <w:color w:val="auto"/>
          <w:sz w:val="20"/>
          <w:szCs w:val="20"/>
          <w:lang w:val="pl-PL"/>
        </w:rPr>
        <w:t xml:space="preserve"> </w:t>
      </w:r>
      <w:r w:rsidRPr="004D1212">
        <w:rPr>
          <w:rFonts w:ascii="Verdana" w:hAnsi="Verdana" w:cstheme="majorHAnsi"/>
          <w:color w:val="auto"/>
          <w:sz w:val="20"/>
          <w:szCs w:val="20"/>
          <w:lang w:val="pl-PL"/>
        </w:rPr>
        <w:t>amalgamat</w:t>
      </w:r>
      <w:r w:rsidR="00AD6AD8" w:rsidRPr="004D1212">
        <w:rPr>
          <w:rFonts w:ascii="Verdana" w:hAnsi="Verdana" w:cstheme="majorHAnsi"/>
          <w:color w:val="auto"/>
          <w:sz w:val="20"/>
          <w:szCs w:val="20"/>
          <w:lang w:val="pl-PL"/>
        </w:rPr>
        <w:t>u</w:t>
      </w:r>
      <w:r w:rsidRPr="004D1212">
        <w:rPr>
          <w:rFonts w:ascii="Verdana" w:hAnsi="Verdana" w:cstheme="majorHAnsi"/>
          <w:color w:val="auto"/>
          <w:sz w:val="20"/>
          <w:szCs w:val="20"/>
          <w:lang w:val="pl-PL"/>
        </w:rPr>
        <w:t>".</w:t>
      </w:r>
    </w:p>
    <w:p w14:paraId="7DAA531B" w14:textId="77777777" w:rsidR="00377CFB" w:rsidRPr="004D1212" w:rsidRDefault="00377CFB" w:rsidP="007D7D19">
      <w:pPr>
        <w:spacing w:line="360" w:lineRule="auto"/>
        <w:jc w:val="both"/>
        <w:rPr>
          <w:rFonts w:ascii="Verdana" w:hAnsi="Verdana" w:cstheme="majorHAnsi"/>
          <w:color w:val="auto"/>
          <w:sz w:val="20"/>
          <w:szCs w:val="20"/>
          <w:lang w:val="pl-PL"/>
        </w:rPr>
      </w:pPr>
    </w:p>
    <w:p w14:paraId="6AA1B660" w14:textId="5B7EBEA1" w:rsidR="005B351D" w:rsidRPr="004D1212" w:rsidRDefault="00CA7A5F" w:rsidP="00304537">
      <w:pPr>
        <w:spacing w:line="360" w:lineRule="auto"/>
        <w:jc w:val="both"/>
        <w:rPr>
          <w:rFonts w:ascii="Verdana" w:hAnsi="Verdana" w:cstheme="majorHAnsi"/>
          <w:color w:val="auto"/>
          <w:sz w:val="20"/>
          <w:szCs w:val="20"/>
          <w:lang w:val="pl-PL"/>
        </w:rPr>
      </w:pPr>
      <w:r w:rsidRPr="004D1212">
        <w:rPr>
          <w:rFonts w:ascii="Verdana" w:hAnsi="Verdana" w:cstheme="majorHAnsi"/>
          <w:color w:val="auto"/>
          <w:sz w:val="20"/>
          <w:szCs w:val="20"/>
          <w:lang w:val="pl-PL"/>
        </w:rPr>
        <w:t xml:space="preserve">Trzy lata temu zarząd Fundacji Nakao zainicjował również </w:t>
      </w:r>
      <w:r w:rsidR="00F76056" w:rsidRPr="004D1212">
        <w:rPr>
          <w:rFonts w:ascii="Verdana" w:hAnsi="Verdana" w:cstheme="majorHAnsi"/>
          <w:color w:val="auto"/>
          <w:sz w:val="20"/>
          <w:szCs w:val="20"/>
          <w:lang w:val="pl-PL"/>
        </w:rPr>
        <w:t xml:space="preserve">opracowanie </w:t>
      </w:r>
      <w:r w:rsidR="00762E8A" w:rsidRPr="004D1212">
        <w:rPr>
          <w:rFonts w:ascii="Verdana" w:hAnsi="Verdana" w:cstheme="majorHAnsi"/>
          <w:color w:val="auto"/>
          <w:sz w:val="20"/>
          <w:szCs w:val="20"/>
          <w:lang w:val="pl-PL"/>
        </w:rPr>
        <w:t>„</w:t>
      </w:r>
      <w:r w:rsidRPr="004D1212">
        <w:rPr>
          <w:rFonts w:ascii="Verdana" w:hAnsi="Verdana" w:cstheme="majorHAnsi"/>
          <w:color w:val="auto"/>
          <w:sz w:val="20"/>
          <w:szCs w:val="20"/>
          <w:lang w:val="pl-PL"/>
        </w:rPr>
        <w:t>Drzew</w:t>
      </w:r>
      <w:r w:rsidR="002C28BE" w:rsidRPr="004D1212">
        <w:rPr>
          <w:rFonts w:ascii="Verdana" w:hAnsi="Verdana" w:cstheme="majorHAnsi"/>
          <w:color w:val="auto"/>
          <w:sz w:val="20"/>
          <w:szCs w:val="20"/>
          <w:lang w:val="pl-PL"/>
        </w:rPr>
        <w:t>a</w:t>
      </w:r>
      <w:r w:rsidRPr="004D1212">
        <w:rPr>
          <w:rFonts w:ascii="Verdana" w:hAnsi="Verdana" w:cstheme="majorHAnsi"/>
          <w:color w:val="auto"/>
          <w:sz w:val="20"/>
          <w:szCs w:val="20"/>
          <w:lang w:val="pl-PL"/>
        </w:rPr>
        <w:t xml:space="preserve"> decyzyjne</w:t>
      </w:r>
      <w:r w:rsidR="002C28BE" w:rsidRPr="004D1212">
        <w:rPr>
          <w:rFonts w:ascii="Verdana" w:hAnsi="Verdana" w:cstheme="majorHAnsi"/>
          <w:color w:val="auto"/>
          <w:sz w:val="20"/>
          <w:szCs w:val="20"/>
          <w:lang w:val="pl-PL"/>
        </w:rPr>
        <w:t>go dotyczącego</w:t>
      </w:r>
      <w:r w:rsidRPr="004D1212">
        <w:rPr>
          <w:rFonts w:ascii="Verdana" w:hAnsi="Verdana" w:cstheme="majorHAnsi"/>
          <w:color w:val="auto"/>
          <w:sz w:val="20"/>
          <w:szCs w:val="20"/>
          <w:lang w:val="pl-PL"/>
        </w:rPr>
        <w:t xml:space="preserve"> opcji odbudowy", aby wesprzeć</w:t>
      </w:r>
      <w:r w:rsidR="005E6FAD" w:rsidRPr="004D1212">
        <w:rPr>
          <w:rFonts w:ascii="Verdana" w:hAnsi="Verdana" w:cstheme="majorHAnsi"/>
          <w:color w:val="auto"/>
          <w:sz w:val="20"/>
          <w:szCs w:val="20"/>
          <w:lang w:val="pl-PL"/>
        </w:rPr>
        <w:t xml:space="preserve"> proces </w:t>
      </w:r>
      <w:r w:rsidRPr="004D1212">
        <w:rPr>
          <w:rFonts w:ascii="Verdana" w:hAnsi="Verdana" w:cstheme="majorHAnsi"/>
          <w:color w:val="auto"/>
          <w:sz w:val="20"/>
          <w:szCs w:val="20"/>
          <w:lang w:val="pl-PL"/>
        </w:rPr>
        <w:t>wycofywani</w:t>
      </w:r>
      <w:r w:rsidR="005E6FAD" w:rsidRPr="004D1212">
        <w:rPr>
          <w:rFonts w:ascii="Verdana" w:hAnsi="Verdana" w:cstheme="majorHAnsi"/>
          <w:color w:val="auto"/>
          <w:sz w:val="20"/>
          <w:szCs w:val="20"/>
          <w:lang w:val="pl-PL"/>
        </w:rPr>
        <w:t>a</w:t>
      </w:r>
      <w:r w:rsidRPr="004D1212">
        <w:rPr>
          <w:rFonts w:ascii="Verdana" w:hAnsi="Verdana" w:cstheme="majorHAnsi"/>
          <w:color w:val="auto"/>
          <w:sz w:val="20"/>
          <w:szCs w:val="20"/>
          <w:lang w:val="pl-PL"/>
        </w:rPr>
        <w:t xml:space="preserve"> amalgamatu poprzez zapewnienie dentystom jasnych alternatywnych opcji. </w:t>
      </w:r>
      <w:r w:rsidR="00762E8A" w:rsidRPr="004D1212">
        <w:rPr>
          <w:rFonts w:ascii="Verdana" w:hAnsi="Verdana" w:cstheme="majorHAnsi"/>
          <w:color w:val="auto"/>
          <w:sz w:val="20"/>
          <w:szCs w:val="20"/>
          <w:lang w:val="pl-PL"/>
        </w:rPr>
        <w:t>„</w:t>
      </w:r>
      <w:r w:rsidR="00D4305C" w:rsidRPr="004D1212">
        <w:rPr>
          <w:rFonts w:ascii="Verdana" w:hAnsi="Verdana" w:cstheme="majorHAnsi"/>
          <w:color w:val="auto"/>
          <w:sz w:val="20"/>
          <w:szCs w:val="20"/>
          <w:lang w:val="pl-PL"/>
        </w:rPr>
        <w:t>Obejmuje ono konsensus ekspertów, który ułatwia wybór materiałów do wypełnień</w:t>
      </w:r>
      <w:r w:rsidR="00762E8A" w:rsidRPr="004D1212">
        <w:rPr>
          <w:rFonts w:ascii="Verdana" w:hAnsi="Verdana" w:cstheme="majorHAnsi"/>
          <w:color w:val="auto"/>
          <w:sz w:val="20"/>
          <w:szCs w:val="20"/>
          <w:lang w:val="pl-PL"/>
        </w:rPr>
        <w:t>”</w:t>
      </w:r>
      <w:r w:rsidRPr="004D1212">
        <w:rPr>
          <w:rFonts w:ascii="Verdana" w:hAnsi="Verdana" w:cstheme="majorHAnsi"/>
          <w:color w:val="auto"/>
          <w:sz w:val="20"/>
          <w:szCs w:val="20"/>
          <w:lang w:val="pl-PL"/>
        </w:rPr>
        <w:t xml:space="preserve">- kontynuuje Bart Dopheide. </w:t>
      </w:r>
      <w:r w:rsidR="00762E8A" w:rsidRPr="004D1212">
        <w:rPr>
          <w:rFonts w:ascii="Verdana" w:hAnsi="Verdana" w:cstheme="majorHAnsi"/>
          <w:color w:val="auto"/>
          <w:sz w:val="20"/>
          <w:szCs w:val="20"/>
          <w:lang w:val="pl-PL"/>
        </w:rPr>
        <w:t>„</w:t>
      </w:r>
      <w:r w:rsidRPr="004D1212">
        <w:rPr>
          <w:rFonts w:ascii="Verdana" w:hAnsi="Verdana" w:cstheme="majorHAnsi"/>
          <w:color w:val="auto"/>
          <w:sz w:val="20"/>
          <w:szCs w:val="20"/>
          <w:lang w:val="pl-PL"/>
        </w:rPr>
        <w:t xml:space="preserve">Pod uwagę brane są wszystkie kluczowe aspekty, od właściwości mechanicznych i klinicznych po komfort i oczekiwania pacjenta. </w:t>
      </w:r>
    </w:p>
    <w:p w14:paraId="68C04851" w14:textId="77777777" w:rsidR="005B351D" w:rsidRPr="004D1212" w:rsidRDefault="005B351D" w:rsidP="00304537">
      <w:pPr>
        <w:spacing w:line="360" w:lineRule="auto"/>
        <w:jc w:val="both"/>
        <w:rPr>
          <w:rFonts w:ascii="Verdana" w:hAnsi="Verdana" w:cstheme="majorHAnsi"/>
          <w:color w:val="auto"/>
          <w:sz w:val="20"/>
          <w:szCs w:val="20"/>
          <w:lang w:val="pl-PL"/>
        </w:rPr>
      </w:pPr>
    </w:p>
    <w:p w14:paraId="5F8F8AC9" w14:textId="134E7DFF" w:rsidR="00E866D4" w:rsidRPr="004D1212" w:rsidRDefault="00E866D4" w:rsidP="00E866D4">
      <w:pPr>
        <w:spacing w:line="360" w:lineRule="auto"/>
        <w:jc w:val="both"/>
        <w:rPr>
          <w:rFonts w:ascii="Verdana" w:hAnsi="Verdana" w:cstheme="majorHAnsi"/>
          <w:color w:val="auto"/>
          <w:sz w:val="20"/>
          <w:szCs w:val="20"/>
          <w:lang w:val="pl-PL"/>
        </w:rPr>
      </w:pPr>
      <w:r w:rsidRPr="004D1212">
        <w:rPr>
          <w:rFonts w:ascii="Verdana" w:hAnsi="Verdana" w:cstheme="majorHAnsi"/>
          <w:color w:val="auto"/>
          <w:sz w:val="20"/>
          <w:szCs w:val="20"/>
          <w:lang w:val="pl-PL"/>
        </w:rPr>
        <w:t>W dziedzinie materiałoznawstwa poczyniono ogromne postępy. Obecnie dysponujemy</w:t>
      </w:r>
      <w:r w:rsidR="00F00AD0" w:rsidRPr="004D1212">
        <w:rPr>
          <w:rFonts w:ascii="Verdana" w:hAnsi="Verdana" w:cstheme="majorHAnsi"/>
          <w:color w:val="auto"/>
          <w:sz w:val="20"/>
          <w:szCs w:val="20"/>
          <w:lang w:val="pl-PL"/>
        </w:rPr>
        <w:t xml:space="preserve"> </w:t>
      </w:r>
      <w:r w:rsidRPr="004D1212">
        <w:rPr>
          <w:rFonts w:ascii="Verdana" w:hAnsi="Verdana" w:cstheme="majorHAnsi"/>
          <w:color w:val="auto"/>
          <w:sz w:val="20"/>
          <w:szCs w:val="20"/>
          <w:lang w:val="pl-PL"/>
        </w:rPr>
        <w:t xml:space="preserve">bardzo </w:t>
      </w:r>
      <w:r w:rsidR="005B2A9C" w:rsidRPr="004D1212">
        <w:rPr>
          <w:rFonts w:ascii="Verdana" w:hAnsi="Verdana" w:cstheme="majorHAnsi"/>
          <w:color w:val="auto"/>
          <w:sz w:val="20"/>
          <w:szCs w:val="20"/>
          <w:lang w:val="pl-PL"/>
        </w:rPr>
        <w:t>wytrzymałymi</w:t>
      </w:r>
      <w:r w:rsidRPr="004D1212">
        <w:rPr>
          <w:rFonts w:ascii="Verdana" w:hAnsi="Verdana" w:cstheme="majorHAnsi"/>
          <w:color w:val="auto"/>
          <w:sz w:val="20"/>
          <w:szCs w:val="20"/>
          <w:lang w:val="pl-PL"/>
        </w:rPr>
        <w:t xml:space="preserve"> rozwiązaniami do bezpośrednich odbudów </w:t>
      </w:r>
      <w:r w:rsidR="00581188" w:rsidRPr="004D1212">
        <w:rPr>
          <w:rFonts w:ascii="Verdana" w:hAnsi="Verdana" w:cstheme="majorHAnsi"/>
          <w:color w:val="auto"/>
          <w:sz w:val="20"/>
          <w:szCs w:val="20"/>
          <w:lang w:val="pl-PL"/>
        </w:rPr>
        <w:t>rozległych</w:t>
      </w:r>
      <w:r w:rsidRPr="004D1212">
        <w:rPr>
          <w:rFonts w:ascii="Verdana" w:hAnsi="Verdana" w:cstheme="majorHAnsi"/>
          <w:color w:val="auto"/>
          <w:sz w:val="20"/>
          <w:szCs w:val="20"/>
          <w:lang w:val="pl-PL"/>
        </w:rPr>
        <w:t xml:space="preserve"> u</w:t>
      </w:r>
      <w:r w:rsidR="007F2266" w:rsidRPr="004D1212">
        <w:rPr>
          <w:rFonts w:ascii="Verdana" w:hAnsi="Verdana" w:cstheme="majorHAnsi"/>
          <w:color w:val="auto"/>
          <w:sz w:val="20"/>
          <w:szCs w:val="20"/>
          <w:lang w:val="pl-PL"/>
        </w:rPr>
        <w:t>bytków</w:t>
      </w:r>
      <w:r w:rsidRPr="004D1212">
        <w:rPr>
          <w:rFonts w:ascii="Verdana" w:hAnsi="Verdana" w:cstheme="majorHAnsi"/>
          <w:color w:val="auto"/>
          <w:sz w:val="20"/>
          <w:szCs w:val="20"/>
          <w:lang w:val="pl-PL"/>
        </w:rPr>
        <w:t>, takimi jak kompozyty wzm</w:t>
      </w:r>
      <w:r w:rsidR="00581188" w:rsidRPr="004D1212">
        <w:rPr>
          <w:rFonts w:ascii="Verdana" w:hAnsi="Verdana" w:cstheme="majorHAnsi"/>
          <w:color w:val="auto"/>
          <w:sz w:val="20"/>
          <w:szCs w:val="20"/>
          <w:lang w:val="pl-PL"/>
        </w:rPr>
        <w:t>o</w:t>
      </w:r>
      <w:r w:rsidRPr="004D1212">
        <w:rPr>
          <w:rFonts w:ascii="Verdana" w:hAnsi="Verdana" w:cstheme="majorHAnsi"/>
          <w:color w:val="auto"/>
          <w:sz w:val="20"/>
          <w:szCs w:val="20"/>
          <w:lang w:val="pl-PL"/>
        </w:rPr>
        <w:t>cni</w:t>
      </w:r>
      <w:r w:rsidR="00581188" w:rsidRPr="004D1212">
        <w:rPr>
          <w:rFonts w:ascii="Verdana" w:hAnsi="Verdana" w:cstheme="majorHAnsi"/>
          <w:color w:val="auto"/>
          <w:sz w:val="20"/>
          <w:szCs w:val="20"/>
          <w:lang w:val="pl-PL"/>
        </w:rPr>
        <w:t>o</w:t>
      </w:r>
      <w:r w:rsidRPr="004D1212">
        <w:rPr>
          <w:rFonts w:ascii="Verdana" w:hAnsi="Verdana" w:cstheme="majorHAnsi"/>
          <w:color w:val="auto"/>
          <w:sz w:val="20"/>
          <w:szCs w:val="20"/>
          <w:lang w:val="pl-PL"/>
        </w:rPr>
        <w:t>ne włóknami (everX Flow, red.). Nawet nowoczesne kompozyty o niskiej lepkości, takie jak G-ænial Universal Injectable, są obecnie wystarczająco</w:t>
      </w:r>
      <w:r w:rsidR="007F2266" w:rsidRPr="004D1212">
        <w:rPr>
          <w:rFonts w:ascii="Verdana" w:hAnsi="Verdana" w:cstheme="majorHAnsi"/>
          <w:color w:val="auto"/>
          <w:sz w:val="20"/>
          <w:szCs w:val="20"/>
          <w:lang w:val="pl-PL"/>
        </w:rPr>
        <w:t xml:space="preserve"> wytrzymałe </w:t>
      </w:r>
      <w:r w:rsidRPr="004D1212">
        <w:rPr>
          <w:rFonts w:ascii="Verdana" w:hAnsi="Verdana" w:cstheme="majorHAnsi"/>
          <w:color w:val="auto"/>
          <w:sz w:val="20"/>
          <w:szCs w:val="20"/>
          <w:lang w:val="pl-PL"/>
        </w:rPr>
        <w:t xml:space="preserve">do tych uzupełnień, </w:t>
      </w:r>
      <w:r w:rsidR="00954A42" w:rsidRPr="004D1212">
        <w:rPr>
          <w:rFonts w:ascii="Verdana" w:hAnsi="Verdana" w:cstheme="majorHAnsi"/>
          <w:color w:val="auto"/>
          <w:sz w:val="20"/>
          <w:szCs w:val="20"/>
          <w:lang w:val="pl-PL"/>
        </w:rPr>
        <w:t>a dodatkowo</w:t>
      </w:r>
      <w:r w:rsidR="00BD6459" w:rsidRPr="004D1212">
        <w:rPr>
          <w:rFonts w:ascii="Verdana" w:hAnsi="Verdana" w:cstheme="majorHAnsi"/>
          <w:color w:val="auto"/>
          <w:sz w:val="20"/>
          <w:szCs w:val="20"/>
          <w:lang w:val="pl-PL"/>
        </w:rPr>
        <w:t xml:space="preserve"> obydwa</w:t>
      </w:r>
      <w:r w:rsidR="00954A42" w:rsidRPr="004D1212">
        <w:rPr>
          <w:rFonts w:ascii="Verdana" w:hAnsi="Verdana" w:cstheme="majorHAnsi"/>
          <w:color w:val="auto"/>
          <w:sz w:val="20"/>
          <w:szCs w:val="20"/>
          <w:lang w:val="pl-PL"/>
        </w:rPr>
        <w:t xml:space="preserve"> oferują</w:t>
      </w:r>
      <w:r w:rsidRPr="004D1212">
        <w:rPr>
          <w:rFonts w:ascii="Verdana" w:hAnsi="Verdana" w:cstheme="majorHAnsi"/>
          <w:color w:val="auto"/>
          <w:sz w:val="20"/>
          <w:szCs w:val="20"/>
          <w:lang w:val="pl-PL"/>
        </w:rPr>
        <w:t xml:space="preserve"> łatwoś</w:t>
      </w:r>
      <w:r w:rsidR="00BD6459" w:rsidRPr="004D1212">
        <w:rPr>
          <w:rFonts w:ascii="Verdana" w:hAnsi="Verdana" w:cstheme="majorHAnsi"/>
          <w:color w:val="auto"/>
          <w:sz w:val="20"/>
          <w:szCs w:val="20"/>
          <w:lang w:val="pl-PL"/>
        </w:rPr>
        <w:t>ć</w:t>
      </w:r>
      <w:r w:rsidRPr="004D1212">
        <w:rPr>
          <w:rFonts w:ascii="Verdana" w:hAnsi="Verdana" w:cstheme="majorHAnsi"/>
          <w:color w:val="auto"/>
          <w:sz w:val="20"/>
          <w:szCs w:val="20"/>
          <w:lang w:val="pl-PL"/>
        </w:rPr>
        <w:t xml:space="preserve"> </w:t>
      </w:r>
      <w:r w:rsidR="008C5C89" w:rsidRPr="004D1212">
        <w:rPr>
          <w:rFonts w:ascii="Verdana" w:hAnsi="Verdana" w:cstheme="majorHAnsi"/>
          <w:color w:val="auto"/>
          <w:sz w:val="20"/>
          <w:szCs w:val="20"/>
          <w:lang w:val="pl-PL"/>
        </w:rPr>
        <w:t>stosowania</w:t>
      </w:r>
      <w:r w:rsidRPr="004D1212">
        <w:rPr>
          <w:rFonts w:ascii="Verdana" w:hAnsi="Verdana" w:cstheme="majorHAnsi"/>
          <w:color w:val="auto"/>
          <w:sz w:val="20"/>
          <w:szCs w:val="20"/>
          <w:lang w:val="pl-PL"/>
        </w:rPr>
        <w:t>".</w:t>
      </w:r>
    </w:p>
    <w:p w14:paraId="555D7014" w14:textId="77777777" w:rsidR="004D1212" w:rsidRDefault="004D1212" w:rsidP="005F6D9B">
      <w:pPr>
        <w:spacing w:line="360" w:lineRule="auto"/>
        <w:jc w:val="both"/>
        <w:rPr>
          <w:rFonts w:ascii="Verdana" w:eastAsia="Verdana" w:hAnsi="Verdana" w:cs="Verdana"/>
          <w:color w:val="auto"/>
          <w:sz w:val="20"/>
          <w:szCs w:val="20"/>
          <w:u w:color="404040"/>
        </w:rPr>
      </w:pPr>
    </w:p>
    <w:p w14:paraId="3571F879" w14:textId="7CA19804" w:rsidR="00666219" w:rsidRPr="004D1212" w:rsidRDefault="00666219" w:rsidP="00666219">
      <w:pPr>
        <w:spacing w:line="360" w:lineRule="auto"/>
        <w:jc w:val="both"/>
        <w:rPr>
          <w:rFonts w:ascii="Verdana" w:hAnsi="Verdana"/>
          <w:color w:val="auto"/>
          <w:sz w:val="20"/>
          <w:szCs w:val="20"/>
          <w:lang w:val="pl-PL"/>
        </w:rPr>
      </w:pPr>
      <w:r w:rsidRPr="004D1212">
        <w:rPr>
          <w:rFonts w:ascii="Verdana" w:hAnsi="Verdana"/>
          <w:color w:val="auto"/>
          <w:sz w:val="20"/>
          <w:szCs w:val="20"/>
          <w:lang w:val="pl-PL"/>
        </w:rPr>
        <w:t>Więcej informacji na temat najbardziej niezawodnych alternatyw do amalgamatu od GC można znaleźć na stronie</w:t>
      </w:r>
      <w:r w:rsidR="005F6D9B" w:rsidRPr="004D1212">
        <w:rPr>
          <w:rFonts w:ascii="Verdana" w:hAnsi="Verdana"/>
          <w:color w:val="auto"/>
          <w:sz w:val="20"/>
          <w:szCs w:val="20"/>
          <w:lang w:val="pl-PL"/>
        </w:rPr>
        <w:t xml:space="preserve">: </w:t>
      </w:r>
      <w:hyperlink r:id="rId8" w:history="1">
        <w:r w:rsidR="005F6D9B" w:rsidRPr="004D1212">
          <w:rPr>
            <w:rStyle w:val="Hyperlink"/>
            <w:rFonts w:ascii="Verdana" w:hAnsi="Verdana"/>
            <w:color w:val="auto"/>
            <w:sz w:val="20"/>
            <w:szCs w:val="20"/>
            <w:lang w:val="pl-PL"/>
          </w:rPr>
          <w:t>https://campaigns-gceurope.com/amalgam-alternative/</w:t>
        </w:r>
      </w:hyperlink>
      <w:r w:rsidR="005F6D9B" w:rsidRPr="004D1212">
        <w:rPr>
          <w:rFonts w:ascii="Verdana" w:hAnsi="Verdana"/>
          <w:color w:val="auto"/>
          <w:sz w:val="20"/>
          <w:szCs w:val="20"/>
          <w:lang w:val="pl-PL"/>
        </w:rPr>
        <w:t xml:space="preserve"> </w:t>
      </w:r>
    </w:p>
    <w:p w14:paraId="26E36C92" w14:textId="77777777" w:rsidR="00666219" w:rsidRPr="004D1212" w:rsidRDefault="00666219" w:rsidP="00981F33">
      <w:pPr>
        <w:spacing w:line="360" w:lineRule="auto"/>
        <w:jc w:val="both"/>
        <w:rPr>
          <w:rFonts w:ascii="Verdana" w:hAnsi="Verdana"/>
          <w:color w:val="auto"/>
          <w:sz w:val="14"/>
          <w:szCs w:val="14"/>
          <w:lang w:val="pl-PL"/>
        </w:rPr>
      </w:pPr>
    </w:p>
    <w:p w14:paraId="1B3BDBA7" w14:textId="63238B7C" w:rsidR="004B4DD3" w:rsidRPr="004D1212" w:rsidRDefault="004B4DD3" w:rsidP="00981F33">
      <w:pPr>
        <w:spacing w:line="360" w:lineRule="auto"/>
        <w:jc w:val="both"/>
        <w:rPr>
          <w:rFonts w:ascii="Verdana" w:hAnsi="Verdana"/>
          <w:b/>
          <w:bCs/>
          <w:color w:val="auto"/>
          <w:sz w:val="16"/>
          <w:szCs w:val="16"/>
        </w:rPr>
      </w:pPr>
      <w:proofErr w:type="spellStart"/>
      <w:r w:rsidRPr="004D1212">
        <w:rPr>
          <w:rFonts w:ascii="Verdana" w:hAnsi="Verdana"/>
          <w:b/>
          <w:bCs/>
          <w:color w:val="auto"/>
          <w:sz w:val="16"/>
          <w:szCs w:val="16"/>
        </w:rPr>
        <w:t>Źródła</w:t>
      </w:r>
      <w:proofErr w:type="spellEnd"/>
      <w:r w:rsidRPr="004D1212">
        <w:rPr>
          <w:rFonts w:ascii="Verdana" w:hAnsi="Verdana"/>
          <w:b/>
          <w:bCs/>
          <w:color w:val="auto"/>
          <w:sz w:val="16"/>
          <w:szCs w:val="16"/>
        </w:rPr>
        <w:t>:</w:t>
      </w:r>
    </w:p>
    <w:p w14:paraId="3D9EA3F9" w14:textId="4CDD6277" w:rsidR="00A55973" w:rsidRPr="004D1212" w:rsidRDefault="007632CA" w:rsidP="00397E92">
      <w:pPr>
        <w:pStyle w:val="ListParagraph"/>
        <w:numPr>
          <w:ilvl w:val="0"/>
          <w:numId w:val="3"/>
        </w:numPr>
        <w:spacing w:line="360" w:lineRule="auto"/>
        <w:rPr>
          <w:rFonts w:ascii="Verdana" w:hAnsi="Verdana"/>
          <w:color w:val="auto"/>
          <w:sz w:val="16"/>
          <w:szCs w:val="16"/>
        </w:rPr>
      </w:pPr>
      <w:hyperlink r:id="rId9" w:history="1">
        <w:r w:rsidR="00A55973" w:rsidRPr="004D1212">
          <w:rPr>
            <w:rStyle w:val="Hyperlink"/>
            <w:rFonts w:ascii="Verdana" w:hAnsi="Verdana"/>
            <w:color w:val="auto"/>
            <w:sz w:val="16"/>
            <w:szCs w:val="16"/>
            <w:u w:val="none"/>
          </w:rPr>
          <w:t>Proposal for a revision of the Mercury Regulation (europa.eu)</w:t>
        </w:r>
      </w:hyperlink>
      <w:r w:rsidR="004C09B7" w:rsidRPr="004D1212">
        <w:rPr>
          <w:rFonts w:ascii="Verdana" w:hAnsi="Verdana"/>
          <w:color w:val="auto"/>
          <w:sz w:val="16"/>
          <w:szCs w:val="16"/>
        </w:rPr>
        <w:t xml:space="preserve"> </w:t>
      </w:r>
      <w:r w:rsidR="004C09B7" w:rsidRPr="004D1212">
        <w:rPr>
          <w:rFonts w:ascii="Verdana" w:hAnsi="Verdana"/>
          <w:color w:val="auto"/>
          <w:sz w:val="16"/>
          <w:szCs w:val="16"/>
          <w:u w:val="single"/>
        </w:rPr>
        <w:t>https://environment.ec.europa.eu/publications/proposal-revision-mercury-regulation_en</w:t>
      </w:r>
    </w:p>
    <w:p w14:paraId="76FC5AD9" w14:textId="5A1DCB54" w:rsidR="00A55973" w:rsidRPr="004D1212" w:rsidRDefault="000715D6" w:rsidP="00397E92">
      <w:pPr>
        <w:pStyle w:val="ListParagraph"/>
        <w:numPr>
          <w:ilvl w:val="0"/>
          <w:numId w:val="3"/>
        </w:numPr>
        <w:spacing w:line="360" w:lineRule="auto"/>
        <w:rPr>
          <w:rFonts w:ascii="Verdana" w:hAnsi="Verdana"/>
          <w:color w:val="auto"/>
          <w:sz w:val="16"/>
          <w:szCs w:val="16"/>
          <w:u w:val="single"/>
        </w:rPr>
      </w:pPr>
      <w:r w:rsidRPr="004D1212">
        <w:rPr>
          <w:rFonts w:ascii="Verdana" w:hAnsi="Verdana"/>
          <w:color w:val="auto"/>
          <w:sz w:val="16"/>
          <w:szCs w:val="16"/>
        </w:rPr>
        <w:t>Regulation of the European Parliament and of the Council a</w:t>
      </w:r>
      <w:r w:rsidR="00A55973" w:rsidRPr="004D1212">
        <w:rPr>
          <w:rFonts w:ascii="Verdana" w:hAnsi="Verdana"/>
          <w:color w:val="auto"/>
          <w:sz w:val="16"/>
          <w:szCs w:val="16"/>
        </w:rPr>
        <w:t xml:space="preserve">mending Regulation (EU) 2017/852 of the European Parliament and of the Council of 17 May 2017 on mercury as regards dental amalgam and other mercury-added products subject to manufacturing, import and export restrictions </w:t>
      </w:r>
      <w:hyperlink r:id="rId10" w:history="1">
        <w:r w:rsidR="00A55973" w:rsidRPr="004D1212">
          <w:rPr>
            <w:rStyle w:val="Hyperlink"/>
            <w:rFonts w:ascii="Verdana" w:hAnsi="Verdana"/>
            <w:color w:val="auto"/>
            <w:sz w:val="16"/>
            <w:szCs w:val="16"/>
          </w:rPr>
          <w:t>eur-lex.europa.eu/legal-content/EN/TXT/HTML/?uri=CELEX:52023PC0395</w:t>
        </w:r>
      </w:hyperlink>
    </w:p>
    <w:p w14:paraId="1FFEC5D7" w14:textId="66EF427F" w:rsidR="00BC0204" w:rsidRPr="004D1212" w:rsidRDefault="00BC0204" w:rsidP="00397E92">
      <w:pPr>
        <w:pStyle w:val="ListParagraph"/>
        <w:numPr>
          <w:ilvl w:val="0"/>
          <w:numId w:val="3"/>
        </w:numPr>
        <w:spacing w:line="360" w:lineRule="auto"/>
        <w:rPr>
          <w:rStyle w:val="docsum-journal-citation"/>
          <w:rFonts w:ascii="Verdana" w:hAnsi="Verdana" w:cs="Segoe UI"/>
          <w:color w:val="auto"/>
          <w:sz w:val="16"/>
          <w:szCs w:val="16"/>
          <w:shd w:val="clear" w:color="auto" w:fill="FFFFFF"/>
        </w:rPr>
      </w:pPr>
      <w:proofErr w:type="spellStart"/>
      <w:r w:rsidRPr="004D1212">
        <w:rPr>
          <w:rStyle w:val="docsum-authors"/>
          <w:rFonts w:ascii="Verdana" w:hAnsi="Verdana" w:cs="Segoe UI"/>
          <w:color w:val="auto"/>
          <w:sz w:val="16"/>
          <w:szCs w:val="16"/>
          <w:shd w:val="clear" w:color="auto" w:fill="FFFFFF"/>
        </w:rPr>
        <w:t>Schwendicke</w:t>
      </w:r>
      <w:proofErr w:type="spellEnd"/>
      <w:r w:rsidRPr="004D1212">
        <w:rPr>
          <w:rStyle w:val="docsum-authors"/>
          <w:rFonts w:ascii="Verdana" w:hAnsi="Verdana" w:cs="Segoe UI"/>
          <w:color w:val="auto"/>
          <w:sz w:val="16"/>
          <w:szCs w:val="16"/>
          <w:shd w:val="clear" w:color="auto" w:fill="FFFFFF"/>
        </w:rPr>
        <w:t xml:space="preserve"> F, Basso M, Markovic D, </w:t>
      </w:r>
      <w:proofErr w:type="spellStart"/>
      <w:r w:rsidRPr="004D1212">
        <w:rPr>
          <w:rStyle w:val="docsum-authors"/>
          <w:rFonts w:ascii="Verdana" w:hAnsi="Verdana" w:cs="Segoe UI"/>
          <w:color w:val="auto"/>
          <w:sz w:val="16"/>
          <w:szCs w:val="16"/>
          <w:shd w:val="clear" w:color="auto" w:fill="FFFFFF"/>
        </w:rPr>
        <w:t>Turkun</w:t>
      </w:r>
      <w:proofErr w:type="spellEnd"/>
      <w:r w:rsidRPr="004D1212">
        <w:rPr>
          <w:rStyle w:val="docsum-authors"/>
          <w:rFonts w:ascii="Verdana" w:hAnsi="Verdana" w:cs="Segoe UI"/>
          <w:color w:val="auto"/>
          <w:sz w:val="16"/>
          <w:szCs w:val="16"/>
          <w:shd w:val="clear" w:color="auto" w:fill="FFFFFF"/>
        </w:rPr>
        <w:t xml:space="preserve"> LS, </w:t>
      </w:r>
      <w:proofErr w:type="spellStart"/>
      <w:r w:rsidRPr="004D1212">
        <w:rPr>
          <w:rStyle w:val="docsum-authors"/>
          <w:rFonts w:ascii="Verdana" w:hAnsi="Verdana" w:cs="Segoe UI"/>
          <w:color w:val="auto"/>
          <w:sz w:val="16"/>
          <w:szCs w:val="16"/>
          <w:shd w:val="clear" w:color="auto" w:fill="FFFFFF"/>
        </w:rPr>
        <w:t>Miletić</w:t>
      </w:r>
      <w:proofErr w:type="spellEnd"/>
      <w:r w:rsidRPr="004D1212">
        <w:rPr>
          <w:rStyle w:val="docsum-authors"/>
          <w:rFonts w:ascii="Verdana" w:hAnsi="Verdana" w:cs="Segoe UI"/>
          <w:color w:val="auto"/>
          <w:sz w:val="16"/>
          <w:szCs w:val="16"/>
          <w:shd w:val="clear" w:color="auto" w:fill="FFFFFF"/>
        </w:rPr>
        <w:t xml:space="preserve"> I.</w:t>
      </w:r>
      <w:r w:rsidR="00BA6DE5" w:rsidRPr="004D1212">
        <w:rPr>
          <w:rStyle w:val="docsum-authors"/>
          <w:rFonts w:ascii="Verdana" w:hAnsi="Verdana" w:cs="Segoe UI"/>
          <w:color w:val="auto"/>
          <w:sz w:val="16"/>
          <w:szCs w:val="16"/>
          <w:shd w:val="clear" w:color="auto" w:fill="FFFFFF"/>
        </w:rPr>
        <w:t xml:space="preserve"> Long-term cost-effectiveness of glass hybrid versus composite in permanent molars</w:t>
      </w:r>
      <w:r w:rsidR="008B379E" w:rsidRPr="004D1212">
        <w:rPr>
          <w:rStyle w:val="docsum-authors"/>
          <w:rFonts w:ascii="Verdana" w:hAnsi="Verdana" w:cs="Segoe UI"/>
          <w:color w:val="auto"/>
          <w:sz w:val="16"/>
          <w:szCs w:val="16"/>
          <w:shd w:val="clear" w:color="auto" w:fill="FFFFFF"/>
        </w:rPr>
        <w:t>.</w:t>
      </w:r>
      <w:r w:rsidR="00BA6DE5" w:rsidRPr="004D1212">
        <w:rPr>
          <w:rStyle w:val="docsum-authors"/>
          <w:rFonts w:ascii="Verdana" w:hAnsi="Verdana" w:cs="Segoe UI"/>
          <w:color w:val="auto"/>
          <w:sz w:val="16"/>
          <w:szCs w:val="16"/>
          <w:shd w:val="clear" w:color="auto" w:fill="FFFFFF"/>
        </w:rPr>
        <w:t xml:space="preserve"> </w:t>
      </w:r>
      <w:r w:rsidRPr="004D1212">
        <w:rPr>
          <w:rStyle w:val="docsum-journal-citation"/>
          <w:rFonts w:ascii="Verdana" w:hAnsi="Verdana" w:cs="Segoe UI"/>
          <w:color w:val="auto"/>
          <w:sz w:val="16"/>
          <w:szCs w:val="16"/>
          <w:shd w:val="clear" w:color="auto" w:fill="FFFFFF"/>
        </w:rPr>
        <w:t xml:space="preserve">J Dent. </w:t>
      </w:r>
      <w:proofErr w:type="gramStart"/>
      <w:r w:rsidRPr="004D1212">
        <w:rPr>
          <w:rStyle w:val="docsum-journal-citation"/>
          <w:rFonts w:ascii="Verdana" w:hAnsi="Verdana" w:cs="Segoe UI"/>
          <w:color w:val="auto"/>
          <w:sz w:val="16"/>
          <w:szCs w:val="16"/>
          <w:shd w:val="clear" w:color="auto" w:fill="FFFFFF"/>
        </w:rPr>
        <w:t>2021;11:103751</w:t>
      </w:r>
      <w:proofErr w:type="gramEnd"/>
      <w:r w:rsidRPr="004D1212">
        <w:rPr>
          <w:rStyle w:val="docsum-journal-citation"/>
          <w:rFonts w:ascii="Verdana" w:hAnsi="Verdana" w:cs="Segoe UI"/>
          <w:color w:val="auto"/>
          <w:sz w:val="16"/>
          <w:szCs w:val="16"/>
          <w:shd w:val="clear" w:color="auto" w:fill="FFFFFF"/>
        </w:rPr>
        <w:t xml:space="preserve">. </w:t>
      </w:r>
      <w:proofErr w:type="spellStart"/>
      <w:r w:rsidRPr="004D1212">
        <w:rPr>
          <w:rStyle w:val="docsum-journal-citation"/>
          <w:rFonts w:ascii="Verdana" w:hAnsi="Verdana" w:cs="Segoe UI"/>
          <w:color w:val="auto"/>
          <w:sz w:val="16"/>
          <w:szCs w:val="16"/>
          <w:shd w:val="clear" w:color="auto" w:fill="FFFFFF"/>
        </w:rPr>
        <w:t>doi</w:t>
      </w:r>
      <w:proofErr w:type="spellEnd"/>
      <w:r w:rsidRPr="004D1212">
        <w:rPr>
          <w:rStyle w:val="docsum-journal-citation"/>
          <w:rFonts w:ascii="Verdana" w:hAnsi="Verdana" w:cs="Segoe UI"/>
          <w:color w:val="auto"/>
          <w:sz w:val="16"/>
          <w:szCs w:val="16"/>
          <w:shd w:val="clear" w:color="auto" w:fill="FFFFFF"/>
        </w:rPr>
        <w:t>: 10.1016/j.jdent.2021.103751.</w:t>
      </w:r>
    </w:p>
    <w:p w14:paraId="230A965F" w14:textId="650F7400" w:rsidR="00BA6DE5" w:rsidRPr="004D1212" w:rsidRDefault="00BA6DE5" w:rsidP="00397E92">
      <w:pPr>
        <w:pStyle w:val="ListParagraph"/>
        <w:numPr>
          <w:ilvl w:val="0"/>
          <w:numId w:val="3"/>
        </w:numPr>
        <w:spacing w:line="360" w:lineRule="auto"/>
        <w:rPr>
          <w:rStyle w:val="docsum-journal-citation"/>
          <w:rFonts w:ascii="Verdana" w:hAnsi="Verdana" w:cs="Segoe UI"/>
          <w:color w:val="auto"/>
          <w:sz w:val="16"/>
          <w:szCs w:val="16"/>
          <w:shd w:val="clear" w:color="auto" w:fill="FFFFFF"/>
        </w:rPr>
      </w:pPr>
      <w:proofErr w:type="spellStart"/>
      <w:r w:rsidRPr="004D1212">
        <w:rPr>
          <w:rStyle w:val="docsum-journal-citation"/>
          <w:rFonts w:ascii="Verdana" w:hAnsi="Verdana" w:cs="Segoe UI"/>
          <w:color w:val="auto"/>
          <w:sz w:val="16"/>
          <w:szCs w:val="16"/>
          <w:shd w:val="clear" w:color="auto" w:fill="FFFFFF"/>
        </w:rPr>
        <w:lastRenderedPageBreak/>
        <w:t>Schwendicke</w:t>
      </w:r>
      <w:proofErr w:type="spellEnd"/>
      <w:r w:rsidRPr="004D1212">
        <w:rPr>
          <w:rStyle w:val="docsum-journal-citation"/>
          <w:rFonts w:ascii="Verdana" w:hAnsi="Verdana" w:cs="Segoe UI"/>
          <w:color w:val="auto"/>
          <w:sz w:val="16"/>
          <w:szCs w:val="16"/>
          <w:shd w:val="clear" w:color="auto" w:fill="FFFFFF"/>
        </w:rPr>
        <w:t xml:space="preserve"> F, Rossi JG, </w:t>
      </w:r>
      <w:proofErr w:type="spellStart"/>
      <w:r w:rsidRPr="004D1212">
        <w:rPr>
          <w:rStyle w:val="docsum-journal-citation"/>
          <w:rFonts w:ascii="Verdana" w:hAnsi="Verdana" w:cs="Segoe UI"/>
          <w:color w:val="auto"/>
          <w:sz w:val="16"/>
          <w:szCs w:val="16"/>
          <w:shd w:val="clear" w:color="auto" w:fill="FFFFFF"/>
        </w:rPr>
        <w:t>Krois</w:t>
      </w:r>
      <w:proofErr w:type="spellEnd"/>
      <w:r w:rsidRPr="004D1212">
        <w:rPr>
          <w:rStyle w:val="docsum-journal-citation"/>
          <w:rFonts w:ascii="Verdana" w:hAnsi="Verdana" w:cs="Segoe UI"/>
          <w:color w:val="auto"/>
          <w:sz w:val="16"/>
          <w:szCs w:val="16"/>
          <w:shd w:val="clear" w:color="auto" w:fill="FFFFFF"/>
        </w:rPr>
        <w:t xml:space="preserve"> J, Basso M, </w:t>
      </w:r>
      <w:proofErr w:type="spellStart"/>
      <w:r w:rsidRPr="004D1212">
        <w:rPr>
          <w:rStyle w:val="docsum-journal-citation"/>
          <w:rFonts w:ascii="Verdana" w:hAnsi="Verdana" w:cs="Segoe UI"/>
          <w:color w:val="auto"/>
          <w:sz w:val="16"/>
          <w:szCs w:val="16"/>
          <w:shd w:val="clear" w:color="auto" w:fill="FFFFFF"/>
        </w:rPr>
        <w:t>Peric</w:t>
      </w:r>
      <w:proofErr w:type="spellEnd"/>
      <w:r w:rsidRPr="004D1212">
        <w:rPr>
          <w:rStyle w:val="docsum-journal-citation"/>
          <w:rFonts w:ascii="Verdana" w:hAnsi="Verdana" w:cs="Segoe UI"/>
          <w:color w:val="auto"/>
          <w:sz w:val="16"/>
          <w:szCs w:val="16"/>
          <w:shd w:val="clear" w:color="auto" w:fill="FFFFFF"/>
        </w:rPr>
        <w:t xml:space="preserve"> T, </w:t>
      </w:r>
      <w:proofErr w:type="spellStart"/>
      <w:r w:rsidRPr="004D1212">
        <w:rPr>
          <w:rStyle w:val="docsum-journal-citation"/>
          <w:rFonts w:ascii="Verdana" w:hAnsi="Verdana" w:cs="Segoe UI"/>
          <w:color w:val="auto"/>
          <w:sz w:val="16"/>
          <w:szCs w:val="16"/>
          <w:shd w:val="clear" w:color="auto" w:fill="FFFFFF"/>
        </w:rPr>
        <w:t>Turkun</w:t>
      </w:r>
      <w:proofErr w:type="spellEnd"/>
      <w:r w:rsidRPr="004D1212">
        <w:rPr>
          <w:rStyle w:val="docsum-journal-citation"/>
          <w:rFonts w:ascii="Verdana" w:hAnsi="Verdana" w:cs="Segoe UI"/>
          <w:color w:val="auto"/>
          <w:sz w:val="16"/>
          <w:szCs w:val="16"/>
          <w:shd w:val="clear" w:color="auto" w:fill="FFFFFF"/>
        </w:rPr>
        <w:t xml:space="preserve"> LS, </w:t>
      </w:r>
      <w:proofErr w:type="spellStart"/>
      <w:r w:rsidRPr="004D1212">
        <w:rPr>
          <w:rStyle w:val="docsum-journal-citation"/>
          <w:rFonts w:ascii="Verdana" w:hAnsi="Verdana" w:cs="Segoe UI"/>
          <w:color w:val="auto"/>
          <w:sz w:val="16"/>
          <w:szCs w:val="16"/>
          <w:shd w:val="clear" w:color="auto" w:fill="FFFFFF"/>
        </w:rPr>
        <w:t>Miletić</w:t>
      </w:r>
      <w:proofErr w:type="spellEnd"/>
      <w:r w:rsidRPr="004D1212">
        <w:rPr>
          <w:rStyle w:val="docsum-journal-citation"/>
          <w:rFonts w:ascii="Verdana" w:hAnsi="Verdana" w:cs="Segoe UI"/>
          <w:color w:val="auto"/>
          <w:sz w:val="16"/>
          <w:szCs w:val="16"/>
          <w:shd w:val="clear" w:color="auto" w:fill="FFFFFF"/>
        </w:rPr>
        <w:t xml:space="preserve"> I. Cost-effectiveness of glass hybrid versus composite in a multi-country randomized trial.</w:t>
      </w:r>
      <w:r w:rsidR="008B379E" w:rsidRPr="004D1212">
        <w:rPr>
          <w:rStyle w:val="docsum-journal-citation"/>
          <w:rFonts w:ascii="Verdana" w:hAnsi="Verdana" w:cs="Segoe UI"/>
          <w:color w:val="auto"/>
          <w:sz w:val="16"/>
          <w:szCs w:val="16"/>
          <w:shd w:val="clear" w:color="auto" w:fill="FFFFFF"/>
        </w:rPr>
        <w:t xml:space="preserve"> </w:t>
      </w:r>
      <w:r w:rsidRPr="004D1212">
        <w:rPr>
          <w:rStyle w:val="docsum-journal-citation"/>
          <w:rFonts w:ascii="Verdana" w:hAnsi="Verdana" w:cs="Segoe UI"/>
          <w:color w:val="auto"/>
          <w:sz w:val="16"/>
          <w:szCs w:val="16"/>
          <w:shd w:val="clear" w:color="auto" w:fill="FFFFFF"/>
        </w:rPr>
        <w:t xml:space="preserve">J Dent. </w:t>
      </w:r>
      <w:proofErr w:type="gramStart"/>
      <w:r w:rsidRPr="004D1212">
        <w:rPr>
          <w:rStyle w:val="docsum-journal-citation"/>
          <w:rFonts w:ascii="Verdana" w:hAnsi="Verdana" w:cs="Segoe UI"/>
          <w:color w:val="auto"/>
          <w:sz w:val="16"/>
          <w:szCs w:val="16"/>
          <w:shd w:val="clear" w:color="auto" w:fill="FFFFFF"/>
        </w:rPr>
        <w:t>2021;107:103614</w:t>
      </w:r>
      <w:proofErr w:type="gramEnd"/>
      <w:r w:rsidRPr="004D1212">
        <w:rPr>
          <w:rStyle w:val="docsum-journal-citation"/>
          <w:rFonts w:ascii="Verdana" w:hAnsi="Verdana" w:cs="Segoe UI"/>
          <w:color w:val="auto"/>
          <w:sz w:val="16"/>
          <w:szCs w:val="16"/>
          <w:shd w:val="clear" w:color="auto" w:fill="FFFFFF"/>
        </w:rPr>
        <w:t xml:space="preserve">. </w:t>
      </w:r>
      <w:proofErr w:type="spellStart"/>
      <w:r w:rsidRPr="004D1212">
        <w:rPr>
          <w:rStyle w:val="docsum-journal-citation"/>
          <w:rFonts w:ascii="Verdana" w:hAnsi="Verdana" w:cs="Segoe UI"/>
          <w:color w:val="auto"/>
          <w:sz w:val="16"/>
          <w:szCs w:val="16"/>
          <w:shd w:val="clear" w:color="auto" w:fill="FFFFFF"/>
        </w:rPr>
        <w:t>doi</w:t>
      </w:r>
      <w:proofErr w:type="spellEnd"/>
      <w:r w:rsidRPr="004D1212">
        <w:rPr>
          <w:rStyle w:val="docsum-journal-citation"/>
          <w:rFonts w:ascii="Verdana" w:hAnsi="Verdana" w:cs="Segoe UI"/>
          <w:color w:val="auto"/>
          <w:sz w:val="16"/>
          <w:szCs w:val="16"/>
          <w:shd w:val="clear" w:color="auto" w:fill="FFFFFF"/>
        </w:rPr>
        <w:t>: 10.1016/j.jdent.2021.103614.</w:t>
      </w:r>
    </w:p>
    <w:p w14:paraId="179DC009" w14:textId="0A93DEC6" w:rsidR="00206A13" w:rsidRPr="004D1212" w:rsidRDefault="008B379E" w:rsidP="00397E92">
      <w:pPr>
        <w:pStyle w:val="ListParagraph"/>
        <w:numPr>
          <w:ilvl w:val="0"/>
          <w:numId w:val="3"/>
        </w:numPr>
        <w:spacing w:line="360" w:lineRule="auto"/>
        <w:rPr>
          <w:rFonts w:ascii="Verdana" w:hAnsi="Verdana"/>
          <w:bCs/>
          <w:color w:val="auto"/>
          <w:spacing w:val="5"/>
          <w:kern w:val="28"/>
          <w:sz w:val="22"/>
          <w:szCs w:val="22"/>
          <w:u w:color="464646"/>
        </w:rPr>
      </w:pPr>
      <w:r w:rsidRPr="004D1212">
        <w:rPr>
          <w:rStyle w:val="docsum-journal-citation"/>
          <w:rFonts w:ascii="Verdana" w:hAnsi="Verdana" w:cs="Segoe UI"/>
          <w:color w:val="auto"/>
          <w:sz w:val="16"/>
          <w:szCs w:val="16"/>
          <w:shd w:val="clear" w:color="auto" w:fill="FFFFFF"/>
        </w:rPr>
        <w:t xml:space="preserve">Restorative Options Decision Tree, Foundation Nakao. </w:t>
      </w:r>
      <w:hyperlink r:id="rId11" w:history="1">
        <w:r w:rsidR="00A11BCD" w:rsidRPr="004D1212">
          <w:rPr>
            <w:rStyle w:val="Hyperlink"/>
            <w:rFonts w:ascii="Verdana" w:hAnsi="Verdana"/>
            <w:color w:val="auto"/>
            <w:sz w:val="16"/>
            <w:szCs w:val="16"/>
          </w:rPr>
          <w:t>zingtree.com/deploy/</w:t>
        </w:r>
        <w:proofErr w:type="spellStart"/>
        <w:r w:rsidR="00A11BCD" w:rsidRPr="004D1212">
          <w:rPr>
            <w:rStyle w:val="Hyperlink"/>
            <w:rFonts w:ascii="Verdana" w:hAnsi="Verdana"/>
            <w:color w:val="auto"/>
            <w:sz w:val="16"/>
            <w:szCs w:val="16"/>
          </w:rPr>
          <w:t>tree.php?z</w:t>
        </w:r>
        <w:proofErr w:type="spellEnd"/>
        <w:r w:rsidR="00A11BCD" w:rsidRPr="004D1212">
          <w:rPr>
            <w:rStyle w:val="Hyperlink"/>
            <w:rFonts w:ascii="Verdana" w:hAnsi="Verdana"/>
            <w:color w:val="auto"/>
            <w:sz w:val="16"/>
            <w:szCs w:val="16"/>
          </w:rPr>
          <w:t>=</w:t>
        </w:r>
        <w:proofErr w:type="spellStart"/>
        <w:r w:rsidR="00A11BCD" w:rsidRPr="004D1212">
          <w:rPr>
            <w:rStyle w:val="Hyperlink"/>
            <w:rFonts w:ascii="Verdana" w:hAnsi="Verdana"/>
            <w:color w:val="auto"/>
            <w:sz w:val="16"/>
            <w:szCs w:val="16"/>
          </w:rPr>
          <w:t>embed&amp;tree_id</w:t>
        </w:r>
        <w:proofErr w:type="spellEnd"/>
        <w:r w:rsidR="00A11BCD" w:rsidRPr="004D1212">
          <w:rPr>
            <w:rStyle w:val="Hyperlink"/>
            <w:rFonts w:ascii="Verdana" w:hAnsi="Verdana"/>
            <w:color w:val="auto"/>
            <w:sz w:val="16"/>
            <w:szCs w:val="16"/>
          </w:rPr>
          <w:t>=510390943</w:t>
        </w:r>
      </w:hyperlink>
      <w:r w:rsidR="00A11BCD" w:rsidRPr="004D1212">
        <w:rPr>
          <w:color w:val="auto"/>
        </w:rPr>
        <w:t xml:space="preserve"> </w:t>
      </w:r>
    </w:p>
    <w:p w14:paraId="65D618CF" w14:textId="77777777" w:rsidR="00397E92" w:rsidRPr="004D1212" w:rsidRDefault="00397E92" w:rsidP="00397E92">
      <w:pPr>
        <w:pStyle w:val="ListParagraph"/>
        <w:spacing w:line="360" w:lineRule="auto"/>
        <w:ind w:left="360"/>
        <w:rPr>
          <w:rFonts w:ascii="Verdana" w:hAnsi="Verdana"/>
          <w:bCs/>
          <w:color w:val="auto"/>
          <w:spacing w:val="5"/>
          <w:kern w:val="28"/>
          <w:sz w:val="22"/>
          <w:szCs w:val="22"/>
          <w:u w:color="464646"/>
        </w:rPr>
      </w:pPr>
    </w:p>
    <w:p w14:paraId="3337DD6A" w14:textId="77777777" w:rsidR="004D1212" w:rsidRPr="004D1212" w:rsidRDefault="004D1212" w:rsidP="004D1212">
      <w:pPr>
        <w:rPr>
          <w:rFonts w:ascii="Verdana" w:hAnsi="Verdana"/>
          <w:bCs/>
          <w:color w:val="auto"/>
          <w:spacing w:val="5"/>
          <w:kern w:val="28"/>
          <w:sz w:val="22"/>
          <w:szCs w:val="22"/>
          <w:u w:color="464646"/>
        </w:rPr>
      </w:pPr>
      <w:r w:rsidRPr="004D1212">
        <w:rPr>
          <w:rFonts w:ascii="Verdana" w:hAnsi="Verdana"/>
          <w:bCs/>
          <w:color w:val="auto"/>
          <w:spacing w:val="5"/>
          <w:kern w:val="28"/>
          <w:sz w:val="22"/>
          <w:szCs w:val="22"/>
          <w:u w:color="464646"/>
        </w:rPr>
        <w:t xml:space="preserve">GC EUROPE N.V. / </w:t>
      </w:r>
      <w:proofErr w:type="spellStart"/>
      <w:r w:rsidRPr="004D1212">
        <w:rPr>
          <w:rFonts w:ascii="Verdana" w:hAnsi="Verdana"/>
          <w:bCs/>
          <w:color w:val="auto"/>
          <w:spacing w:val="5"/>
          <w:kern w:val="28"/>
          <w:sz w:val="22"/>
          <w:szCs w:val="22"/>
          <w:u w:color="464646"/>
        </w:rPr>
        <w:t>Przedstawicielstwo</w:t>
      </w:r>
      <w:proofErr w:type="spellEnd"/>
      <w:r w:rsidRPr="004D1212">
        <w:rPr>
          <w:rFonts w:ascii="Verdana" w:hAnsi="Verdana"/>
          <w:bCs/>
          <w:color w:val="auto"/>
          <w:spacing w:val="5"/>
          <w:kern w:val="28"/>
          <w:sz w:val="22"/>
          <w:szCs w:val="22"/>
          <w:u w:color="464646"/>
        </w:rPr>
        <w:t xml:space="preserve"> w </w:t>
      </w:r>
      <w:proofErr w:type="spellStart"/>
      <w:r w:rsidRPr="004D1212">
        <w:rPr>
          <w:rFonts w:ascii="Verdana" w:hAnsi="Verdana"/>
          <w:bCs/>
          <w:color w:val="auto"/>
          <w:spacing w:val="5"/>
          <w:kern w:val="28"/>
          <w:sz w:val="22"/>
          <w:szCs w:val="22"/>
          <w:u w:color="464646"/>
        </w:rPr>
        <w:t>Polsce</w:t>
      </w:r>
      <w:proofErr w:type="spellEnd"/>
    </w:p>
    <w:p w14:paraId="01360354" w14:textId="77777777" w:rsidR="004D1212" w:rsidRPr="004D1212" w:rsidRDefault="004D1212" w:rsidP="004D1212">
      <w:pPr>
        <w:rPr>
          <w:rFonts w:ascii="Verdana" w:hAnsi="Verdana"/>
          <w:bCs/>
          <w:color w:val="auto"/>
          <w:spacing w:val="5"/>
          <w:kern w:val="28"/>
          <w:sz w:val="22"/>
          <w:szCs w:val="22"/>
          <w:u w:color="464646"/>
        </w:rPr>
      </w:pPr>
      <w:proofErr w:type="spellStart"/>
      <w:r w:rsidRPr="004D1212">
        <w:rPr>
          <w:rFonts w:ascii="Verdana" w:hAnsi="Verdana"/>
          <w:bCs/>
          <w:color w:val="auto"/>
          <w:spacing w:val="5"/>
          <w:kern w:val="28"/>
          <w:sz w:val="22"/>
          <w:szCs w:val="22"/>
          <w:u w:color="464646"/>
        </w:rPr>
        <w:t>Spółka</w:t>
      </w:r>
      <w:proofErr w:type="spellEnd"/>
      <w:r w:rsidRPr="004D1212">
        <w:rPr>
          <w:rFonts w:ascii="Verdana" w:hAnsi="Verdana"/>
          <w:bCs/>
          <w:color w:val="auto"/>
          <w:spacing w:val="5"/>
          <w:kern w:val="28"/>
          <w:sz w:val="22"/>
          <w:szCs w:val="22"/>
          <w:u w:color="464646"/>
        </w:rPr>
        <w:t xml:space="preserve"> </w:t>
      </w:r>
      <w:proofErr w:type="spellStart"/>
      <w:r w:rsidRPr="004D1212">
        <w:rPr>
          <w:rFonts w:ascii="Verdana" w:hAnsi="Verdana"/>
          <w:bCs/>
          <w:color w:val="auto"/>
          <w:spacing w:val="5"/>
          <w:kern w:val="28"/>
          <w:sz w:val="22"/>
          <w:szCs w:val="22"/>
          <w:u w:color="464646"/>
        </w:rPr>
        <w:t>Akcyjna</w:t>
      </w:r>
      <w:proofErr w:type="spellEnd"/>
      <w:r w:rsidRPr="004D1212">
        <w:rPr>
          <w:rFonts w:ascii="Verdana" w:hAnsi="Verdana"/>
          <w:bCs/>
          <w:color w:val="auto"/>
          <w:spacing w:val="5"/>
          <w:kern w:val="28"/>
          <w:sz w:val="22"/>
          <w:szCs w:val="22"/>
          <w:u w:color="464646"/>
        </w:rPr>
        <w:t xml:space="preserve"> / </w:t>
      </w:r>
      <w:proofErr w:type="spellStart"/>
      <w:r w:rsidRPr="004D1212">
        <w:rPr>
          <w:rFonts w:ascii="Verdana" w:hAnsi="Verdana"/>
          <w:bCs/>
          <w:color w:val="auto"/>
          <w:spacing w:val="5"/>
          <w:kern w:val="28"/>
          <w:sz w:val="22"/>
          <w:szCs w:val="22"/>
          <w:u w:color="464646"/>
        </w:rPr>
        <w:t>Przedstawicielstwo</w:t>
      </w:r>
      <w:proofErr w:type="spellEnd"/>
      <w:r w:rsidRPr="004D1212">
        <w:rPr>
          <w:rFonts w:ascii="Verdana" w:hAnsi="Verdana"/>
          <w:bCs/>
          <w:color w:val="auto"/>
          <w:spacing w:val="5"/>
          <w:kern w:val="28"/>
          <w:sz w:val="22"/>
          <w:szCs w:val="22"/>
          <w:u w:color="464646"/>
        </w:rPr>
        <w:t xml:space="preserve"> w </w:t>
      </w:r>
      <w:proofErr w:type="spellStart"/>
      <w:r w:rsidRPr="004D1212">
        <w:rPr>
          <w:rFonts w:ascii="Verdana" w:hAnsi="Verdana"/>
          <w:bCs/>
          <w:color w:val="auto"/>
          <w:spacing w:val="5"/>
          <w:kern w:val="28"/>
          <w:sz w:val="22"/>
          <w:szCs w:val="22"/>
          <w:u w:color="464646"/>
        </w:rPr>
        <w:t>Polsce</w:t>
      </w:r>
      <w:proofErr w:type="spellEnd"/>
    </w:p>
    <w:p w14:paraId="102A5C80" w14:textId="77777777" w:rsidR="004D1212" w:rsidRPr="004D1212" w:rsidRDefault="004D1212" w:rsidP="004D1212">
      <w:pPr>
        <w:rPr>
          <w:rFonts w:ascii="Verdana" w:hAnsi="Verdana"/>
          <w:bCs/>
          <w:color w:val="auto"/>
          <w:spacing w:val="5"/>
          <w:kern w:val="28"/>
          <w:sz w:val="22"/>
          <w:szCs w:val="22"/>
          <w:u w:color="464646"/>
        </w:rPr>
      </w:pPr>
      <w:r w:rsidRPr="004D1212">
        <w:rPr>
          <w:rFonts w:ascii="Verdana" w:hAnsi="Verdana"/>
          <w:bCs/>
          <w:color w:val="auto"/>
          <w:spacing w:val="5"/>
          <w:kern w:val="28"/>
          <w:sz w:val="22"/>
          <w:szCs w:val="22"/>
          <w:u w:color="464646"/>
        </w:rPr>
        <w:t xml:space="preserve">ul. </w:t>
      </w:r>
      <w:proofErr w:type="spellStart"/>
      <w:proofErr w:type="gramStart"/>
      <w:r w:rsidRPr="004D1212">
        <w:rPr>
          <w:rFonts w:ascii="Verdana" w:hAnsi="Verdana"/>
          <w:bCs/>
          <w:color w:val="auto"/>
          <w:spacing w:val="5"/>
          <w:kern w:val="28"/>
          <w:sz w:val="22"/>
          <w:szCs w:val="22"/>
          <w:u w:color="464646"/>
        </w:rPr>
        <w:t>W.Tetmajera</w:t>
      </w:r>
      <w:proofErr w:type="spellEnd"/>
      <w:proofErr w:type="gramEnd"/>
      <w:r w:rsidRPr="004D1212">
        <w:rPr>
          <w:rFonts w:ascii="Verdana" w:hAnsi="Verdana"/>
          <w:bCs/>
          <w:color w:val="auto"/>
          <w:spacing w:val="5"/>
          <w:kern w:val="28"/>
          <w:sz w:val="22"/>
          <w:szCs w:val="22"/>
          <w:u w:color="464646"/>
        </w:rPr>
        <w:t xml:space="preserve"> 65D/2</w:t>
      </w:r>
    </w:p>
    <w:p w14:paraId="442B49B5" w14:textId="77777777" w:rsidR="004D1212" w:rsidRPr="004D1212" w:rsidRDefault="004D1212" w:rsidP="004D1212">
      <w:pPr>
        <w:rPr>
          <w:rFonts w:ascii="Verdana" w:hAnsi="Verdana"/>
          <w:bCs/>
          <w:color w:val="auto"/>
          <w:spacing w:val="5"/>
          <w:kern w:val="28"/>
          <w:sz w:val="22"/>
          <w:szCs w:val="22"/>
          <w:u w:color="464646"/>
          <w:lang w:val="nl-BE"/>
        </w:rPr>
      </w:pPr>
      <w:r w:rsidRPr="004D1212">
        <w:rPr>
          <w:rFonts w:ascii="Verdana" w:hAnsi="Verdana"/>
          <w:bCs/>
          <w:color w:val="auto"/>
          <w:spacing w:val="5"/>
          <w:kern w:val="28"/>
          <w:sz w:val="22"/>
          <w:szCs w:val="22"/>
          <w:u w:color="464646"/>
          <w:lang w:val="nl-BE"/>
        </w:rPr>
        <w:t>31-352 Kraków</w:t>
      </w:r>
    </w:p>
    <w:p w14:paraId="4BB7745D" w14:textId="77777777" w:rsidR="004D1212" w:rsidRPr="004D1212" w:rsidRDefault="004D1212" w:rsidP="004D1212">
      <w:pPr>
        <w:rPr>
          <w:rFonts w:ascii="Verdana" w:hAnsi="Verdana"/>
          <w:bCs/>
          <w:color w:val="auto"/>
          <w:spacing w:val="5"/>
          <w:kern w:val="28"/>
          <w:sz w:val="22"/>
          <w:szCs w:val="22"/>
          <w:u w:color="464646"/>
          <w:lang w:val="nl-BE"/>
        </w:rPr>
      </w:pPr>
      <w:r w:rsidRPr="004D1212">
        <w:rPr>
          <w:rFonts w:ascii="Verdana" w:hAnsi="Verdana"/>
          <w:bCs/>
          <w:color w:val="auto"/>
          <w:spacing w:val="5"/>
          <w:kern w:val="28"/>
          <w:sz w:val="22"/>
          <w:szCs w:val="22"/>
          <w:u w:color="464646"/>
          <w:lang w:val="nl-BE"/>
        </w:rPr>
        <w:t>Polska</w:t>
      </w:r>
    </w:p>
    <w:p w14:paraId="57F80094" w14:textId="77777777" w:rsidR="004D1212" w:rsidRPr="004D1212" w:rsidRDefault="004D1212" w:rsidP="004D1212">
      <w:pPr>
        <w:rPr>
          <w:rFonts w:ascii="Verdana" w:hAnsi="Verdana"/>
          <w:bCs/>
          <w:color w:val="auto"/>
          <w:spacing w:val="5"/>
          <w:kern w:val="28"/>
          <w:sz w:val="22"/>
          <w:szCs w:val="22"/>
          <w:u w:color="464646"/>
          <w:lang w:val="nl-BE"/>
        </w:rPr>
      </w:pPr>
    </w:p>
    <w:p w14:paraId="603B2413" w14:textId="77777777" w:rsidR="004D1212" w:rsidRPr="004D1212" w:rsidRDefault="004D1212" w:rsidP="004D1212">
      <w:pPr>
        <w:rPr>
          <w:rFonts w:ascii="Verdana" w:hAnsi="Verdana"/>
          <w:bCs/>
          <w:color w:val="auto"/>
          <w:spacing w:val="5"/>
          <w:kern w:val="28"/>
          <w:sz w:val="22"/>
          <w:szCs w:val="22"/>
          <w:u w:color="464646"/>
          <w:lang w:val="nl-BE"/>
        </w:rPr>
      </w:pPr>
      <w:r w:rsidRPr="004D1212">
        <w:rPr>
          <w:rFonts w:ascii="Verdana" w:hAnsi="Verdana"/>
          <w:bCs/>
          <w:color w:val="auto"/>
          <w:spacing w:val="5"/>
          <w:kern w:val="28"/>
          <w:sz w:val="22"/>
          <w:szCs w:val="22"/>
          <w:u w:color="464646"/>
          <w:lang w:val="nl-BE"/>
        </w:rPr>
        <w:t>+48 12 425 14 74</w:t>
      </w:r>
    </w:p>
    <w:p w14:paraId="57E3E5D6" w14:textId="77777777" w:rsidR="004D1212" w:rsidRPr="004D1212" w:rsidRDefault="004D1212" w:rsidP="004D1212">
      <w:pPr>
        <w:rPr>
          <w:rFonts w:ascii="Verdana" w:hAnsi="Verdana"/>
          <w:bCs/>
          <w:color w:val="auto"/>
          <w:spacing w:val="5"/>
          <w:kern w:val="28"/>
          <w:sz w:val="22"/>
          <w:szCs w:val="22"/>
          <w:u w:color="464646"/>
          <w:lang w:val="nl-BE"/>
        </w:rPr>
      </w:pPr>
      <w:r w:rsidRPr="004D1212">
        <w:rPr>
          <w:rFonts w:ascii="Verdana" w:hAnsi="Verdana"/>
          <w:bCs/>
          <w:color w:val="auto"/>
          <w:spacing w:val="5"/>
          <w:kern w:val="28"/>
          <w:sz w:val="22"/>
          <w:szCs w:val="22"/>
          <w:u w:color="464646"/>
          <w:lang w:val="nl-BE"/>
        </w:rPr>
        <w:t>+48 12 312 52 08</w:t>
      </w:r>
    </w:p>
    <w:p w14:paraId="5CF52306" w14:textId="77777777" w:rsidR="004D1212" w:rsidRPr="004D1212" w:rsidRDefault="004D1212" w:rsidP="004D1212">
      <w:pPr>
        <w:rPr>
          <w:rFonts w:ascii="Verdana" w:hAnsi="Verdana"/>
          <w:bCs/>
          <w:color w:val="auto"/>
          <w:spacing w:val="5"/>
          <w:kern w:val="28"/>
          <w:sz w:val="22"/>
          <w:szCs w:val="22"/>
          <w:u w:color="464646"/>
          <w:lang w:val="nl-BE"/>
        </w:rPr>
      </w:pPr>
      <w:proofErr w:type="spellStart"/>
      <w:proofErr w:type="gramStart"/>
      <w:r w:rsidRPr="004D1212">
        <w:rPr>
          <w:rFonts w:ascii="Verdana" w:hAnsi="Verdana"/>
          <w:bCs/>
          <w:color w:val="auto"/>
          <w:spacing w:val="5"/>
          <w:kern w:val="28"/>
          <w:sz w:val="22"/>
          <w:szCs w:val="22"/>
          <w:u w:color="464646"/>
          <w:lang w:val="nl-BE"/>
        </w:rPr>
        <w:t>info.poland@gc.dental</w:t>
      </w:r>
      <w:proofErr w:type="spellEnd"/>
      <w:proofErr w:type="gramEnd"/>
    </w:p>
    <w:p w14:paraId="70407860" w14:textId="434D86AE" w:rsidR="0031159E" w:rsidRPr="004D1212" w:rsidRDefault="004D1212" w:rsidP="004D1212">
      <w:pPr>
        <w:rPr>
          <w:rFonts w:ascii="Verdana" w:hAnsi="Verdana"/>
          <w:color w:val="auto"/>
        </w:rPr>
      </w:pPr>
      <w:r w:rsidRPr="004D1212">
        <w:rPr>
          <w:rFonts w:ascii="Verdana" w:hAnsi="Verdana"/>
          <w:bCs/>
          <w:color w:val="auto"/>
          <w:spacing w:val="5"/>
          <w:kern w:val="28"/>
          <w:sz w:val="22"/>
          <w:szCs w:val="22"/>
          <w:u w:color="464646"/>
          <w:lang w:val="fr-FR"/>
        </w:rPr>
        <w:t>poland.gceurope.com</w:t>
      </w:r>
      <w:r w:rsidR="0031159E" w:rsidRPr="004D1212">
        <w:rPr>
          <w:rFonts w:ascii="Verdana" w:hAnsi="Verdana"/>
          <w:color w:val="auto"/>
        </w:rPr>
        <w:br w:type="page"/>
      </w:r>
    </w:p>
    <w:p w14:paraId="70EF5006" w14:textId="3FACBBEA" w:rsidR="0031159E" w:rsidRPr="004D1212" w:rsidRDefault="0031159E" w:rsidP="0031159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5F5F5"/>
        <w:spacing w:line="420" w:lineRule="atLeast"/>
        <w:rPr>
          <w:rFonts w:ascii="Roboto" w:eastAsia="Times New Roman" w:hAnsi="Roboto" w:cs="Times New Roman"/>
          <w:color w:val="auto"/>
          <w:sz w:val="27"/>
          <w:szCs w:val="27"/>
          <w:bdr w:val="none" w:sz="0" w:space="0" w:color="auto"/>
          <w:lang w:val="pl-PL"/>
        </w:rPr>
      </w:pPr>
      <w:r w:rsidRPr="004D1212">
        <w:rPr>
          <w:rFonts w:ascii="Roboto" w:eastAsia="Times New Roman" w:hAnsi="Roboto" w:cs="Times New Roman"/>
          <w:color w:val="auto"/>
          <w:sz w:val="27"/>
          <w:szCs w:val="27"/>
          <w:bdr w:val="none" w:sz="0" w:space="0" w:color="auto"/>
          <w:lang w:val="pl-PL"/>
        </w:rPr>
        <w:lastRenderedPageBreak/>
        <w:t xml:space="preserve">r W dniu 14 lipca 2023 r. Rada Europejska przedstawiła oficjalną propozycję wprowadzenia zakazu stosowania amalgamatu w jakichkolwiek zabiegach stomatologicznych w państwach członkowskich od 1 stycznia 2025 r. Stosowanie amalgamatu dentystycznego u dzieci oraz kobiet w ciąży i karmiących piersią, został zakazany w UE już w 2018 r., poza kilkoma rygorystycznymi wyjątkami. Mając na uwadze nowe przepisy, po raz kolejny podkreślono potrzebę alternatywnych rozwiązań. GC od wielu lat przewidywała wycofywanie amalgamatu. „Obecnie na rynku dostępnych jest kilka realnych, niezawierających rtęci alternatyw, musimy jednak mieć pewność, że zostaną spełnione wszystkie wymagania, także z punktu widzenia pacjenta” – stwierdził Bart Dopheide, dyrektor generalny ds. usług naukowych w GC Europe. „Bezpośrednie porównania między uzupełnieniami hybrydowymi ze szkła EQUIA Forte a uzupełnieniami kompozytowymi – kompozyt stanowi nowy „złoty standard” uzupełnień bezpośrednich” – w niezależnych akademickich badaniach opłacalności obejmowało koszty początkowe i koszty ponownego leczenia, a wniosek był taki, że hybrydy szklane mają więcej potencjał pod względem opłacalności. Badania takie są bardzo ważne, biorąc pod uwagę przejście na rozwiązania alternatywne, które mają być objęte systemami zabezpieczenia społecznego i prywatną opieką zdrowotną, aby opieka zdrowotna jamy ustnej była dostępna dla każdego. Co więcej, są mniej wrażliwe na technikę, co sprawia, że ich umiejscowienie jest bardziej porównywalne z amalgamatem. Trzy lata temu zarząd Foundation Nakao zainicjował także „Drzewo decyzyjne dotyczące opcji odbudowy”, aby wesprzeć wycofywanie amalgamatu poprzez zapewnienie dentystom jasnych alternatywnych opcji. „Obejmuje konsensus ekspertów, którzy decydują o wyborze materiałów odtwórczych” – </w:t>
      </w:r>
      <w:r w:rsidRPr="004D1212">
        <w:rPr>
          <w:rFonts w:ascii="Roboto" w:eastAsia="Times New Roman" w:hAnsi="Roboto" w:cs="Times New Roman"/>
          <w:color w:val="auto"/>
          <w:sz w:val="27"/>
          <w:szCs w:val="27"/>
          <w:bdr w:val="none" w:sz="0" w:space="0" w:color="auto"/>
          <w:lang w:val="pl-PL"/>
        </w:rPr>
        <w:lastRenderedPageBreak/>
        <w:t xml:space="preserve">kontynuuje Bart Dopheide. „Uwzględniane są wszystkie kluczowe aspekty, od właściwości mechanicznych i klinicznych po komfort i oczekiwania pacjenta. Dokonano ogromnego postępu w materiałoznawstwie. Obecnie mamy nawet bardzo silne opcje bezpośrednie do dużych uzupełnień, takie jak kompozyty wzmocnione włóknami (everX Flow, red.). Nawet nowoczesne kompozyty o niskiej lepkości, takie jak G-aenial Universal Injectable, są teraz wystarczająco mocne dla tych uzupełnień, a wszystko to przyczynia się do łatwości umieszczania.” Więcej informacji na temat najbardziej oczywistych alternatyw amalgamatu firmy GC można znaleźć na stronie https://campaigns-gceurope.com/amalgam-alternative/ Źródła: - Wniosek dotyczący zmiany rozporządzenia w sprawie rtęci (europa.eu) https://environment.ec.europa.eu/publications/proposal-revision-mercury-regulation_en - Rozporządzenie Parlamentu Europejskiego i Rady zmieniające Rozporządzenie Parlamentu Europejskiego i Rady (UE) 2017/852 z dnia 17 maja 2017 r. w sprawie rtęci w odniesieniu do amalgamatu dentystycznego i innych produktów z dodatkiem rtęci podlegających ograniczeniom produkcyjnym, importowym i eksportowym eur-lex.europa.eu/legal-content/EN/TXT/HTML/?uri=CELEX:52023PC0395 - Schwendicke F, Basso M, Markovic D, Turkun LS, Miletić I. Długoterminowa opłacalność szklanej hybrydy w porównaniu z kompozytem w stałych zębach trzonowych. J Denta. 2021;11:103751. doi: 10.1016/j.jdent.2021.103751. - Schwendicke F, Rossi JG, Krois J, Basso M, Peric T, Turkun LS, Miletić I. Opłacalność szklanej hybrydy w porównaniu z kompozytem w randomizowanym badaniu obejmującym wiele krajów. J Denta. 2021;107:103614. doi: </w:t>
      </w:r>
      <w:r w:rsidRPr="004D1212">
        <w:rPr>
          <w:rFonts w:ascii="Roboto" w:eastAsia="Times New Roman" w:hAnsi="Roboto" w:cs="Times New Roman"/>
          <w:color w:val="auto"/>
          <w:sz w:val="27"/>
          <w:szCs w:val="27"/>
          <w:bdr w:val="none" w:sz="0" w:space="0" w:color="auto"/>
          <w:lang w:val="pl-PL"/>
        </w:rPr>
        <w:lastRenderedPageBreak/>
        <w:t>10.1016/j.jdent.2021.103614. - Drzewo decyzyjne dotyczące opcji odbudowy, Fundacja Nakao. zingtree.com/deploy/tree.php?z=embed&amp;tree_id=510390943 GC Europe N.V. Interleuvenlaan 33 3001 Leuven +32.16.74.10.00 https://www.gc.dental/europe info.gce@gc.dental</w:t>
      </w:r>
    </w:p>
    <w:p w14:paraId="21EBED4A" w14:textId="77777777" w:rsidR="004C48D0" w:rsidRPr="004D1212" w:rsidRDefault="004C48D0">
      <w:pPr>
        <w:widowControl w:val="0"/>
        <w:ind w:left="108" w:hanging="108"/>
        <w:jc w:val="both"/>
        <w:rPr>
          <w:rFonts w:ascii="Verdana" w:hAnsi="Verdana"/>
          <w:color w:val="auto"/>
          <w:lang w:val="pl-PL"/>
        </w:rPr>
      </w:pPr>
    </w:p>
    <w:p w14:paraId="4489D452" w14:textId="0AE50340" w:rsidR="00BB5D11" w:rsidRPr="004D1212" w:rsidRDefault="00BB5D11">
      <w:pPr>
        <w:widowControl w:val="0"/>
        <w:ind w:left="108" w:hanging="108"/>
        <w:jc w:val="both"/>
        <w:rPr>
          <w:rFonts w:ascii="Verdana" w:hAnsi="Verdana"/>
          <w:color w:val="auto"/>
          <w:lang w:val="pl-PL"/>
        </w:rPr>
      </w:pPr>
    </w:p>
    <w:sectPr w:rsidR="00BB5D11" w:rsidRPr="004D1212">
      <w:headerReference w:type="default" r:id="rId12"/>
      <w:pgSz w:w="11900" w:h="16840"/>
      <w:pgMar w:top="1826" w:right="1985" w:bottom="1792" w:left="2053" w:header="709" w:footer="47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7B2D1E" w16cex:dateUtc="2023-08-07T06: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CC118" w14:textId="77777777" w:rsidR="003727D0" w:rsidRDefault="003727D0">
      <w:r>
        <w:separator/>
      </w:r>
    </w:p>
  </w:endnote>
  <w:endnote w:type="continuationSeparator" w:id="0">
    <w:p w14:paraId="5F28C3CE" w14:textId="77777777" w:rsidR="003727D0" w:rsidRDefault="0037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972FA" w14:textId="77777777" w:rsidR="003727D0" w:rsidRDefault="003727D0">
      <w:r>
        <w:separator/>
      </w:r>
    </w:p>
  </w:footnote>
  <w:footnote w:type="continuationSeparator" w:id="0">
    <w:p w14:paraId="149D70CA" w14:textId="77777777" w:rsidR="003727D0" w:rsidRDefault="00372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9D1" w14:textId="77777777" w:rsidR="004C48D0" w:rsidRDefault="00A7746D">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E80EE53" wp14:editId="4343C3F6">
              <wp:simplePos x="0" y="0"/>
              <wp:positionH relativeFrom="page">
                <wp:posOffset>174625</wp:posOffset>
              </wp:positionH>
              <wp:positionV relativeFrom="page">
                <wp:posOffset>459740</wp:posOffset>
              </wp:positionV>
              <wp:extent cx="7250432" cy="9672322"/>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2" cy="9672322"/>
                        <a:chOff x="0" y="-1"/>
                        <a:chExt cx="7250431" cy="9672321"/>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3"/>
                          <a:ext cx="1569722" cy="353208"/>
                        </a:xfrm>
                        <a:prstGeom prst="rect">
                          <a:avLst/>
                        </a:prstGeom>
                        <a:ln w="12700" cap="flat">
                          <a:noFill/>
                          <a:miter lim="400000"/>
                        </a:ln>
                        <a:effectLst/>
                      </pic:spPr>
                    </pic:pic>
                    <wpg:grpSp>
                      <wpg:cNvPr id="1073741829" name="Group 3"/>
                      <wpg:cNvGrpSpPr/>
                      <wpg:grpSpPr>
                        <a:xfrm>
                          <a:off x="-1" y="-2"/>
                          <a:ext cx="7250433" cy="579069"/>
                          <a:chOff x="0" y="0"/>
                          <a:chExt cx="7250432" cy="579068"/>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1" y="-1"/>
                            <a:ext cx="627412" cy="579070"/>
                          </a:xfrm>
                          <a:prstGeom prst="rect">
                            <a:avLst/>
                          </a:prstGeom>
                          <a:ln w="12700" cap="flat">
                            <a:noFill/>
                            <a:miter lim="400000"/>
                          </a:ln>
                          <a:effectLst/>
                        </pic:spPr>
                      </pic:pic>
                      <wps:wsp>
                        <wps:cNvPr id="1073741827" name="Line 5"/>
                        <wps:cNvCnPr/>
                        <wps:spPr>
                          <a:xfrm flipV="1">
                            <a:off x="0" y="139052"/>
                            <a:ext cx="6759914" cy="1906"/>
                          </a:xfrm>
                          <a:prstGeom prst="line">
                            <a:avLst/>
                          </a:prstGeom>
                          <a:noFill/>
                          <a:ln w="12700" cap="flat">
                            <a:solidFill>
                              <a:srgbClr val="AFAFB0"/>
                            </a:solidFill>
                            <a:prstDash val="solid"/>
                            <a:round/>
                          </a:ln>
                          <a:effectLst/>
                        </wps:spPr>
                        <wps:bodyPr/>
                      </wps:wsp>
                      <wps:wsp>
                        <wps:cNvPr id="1073741828" name="Line 6"/>
                        <wps:cNvCnPr/>
                        <wps:spPr>
                          <a:xfrm flipV="1">
                            <a:off x="6566068" y="137620"/>
                            <a:ext cx="195101" cy="362877"/>
                          </a:xfrm>
                          <a:prstGeom prst="line">
                            <a:avLst/>
                          </a:prstGeom>
                          <a:noFill/>
                          <a:ln w="12700" cap="flat">
                            <a:solidFill>
                              <a:srgbClr val="AFAFB0"/>
                            </a:solidFill>
                            <a:prstDash val="solid"/>
                            <a:round/>
                          </a:ln>
                          <a:effectLst/>
                        </wps:spPr>
                        <wps:bodyPr/>
                      </wps:wsp>
                    </wpg:grpSp>
                  </wpg:wgp>
                </a:graphicData>
              </a:graphic>
            </wp:anchor>
          </w:drawing>
        </mc:Choice>
        <mc:Fallback xmlns:oel="http://schemas.microsoft.com/office/2019/extlst" xmlns:w16sdtdh="http://schemas.microsoft.com/office/word/2020/wordml/sdtdatahash" xmlns:w16="http://schemas.microsoft.com/office/word/2018/wordml" xmlns:w16cex="http://schemas.microsoft.com/office/word/2018/wordml/cex">
          <w:pict>
            <v:group w14:anchorId="481267A7"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95DFE"/>
    <w:multiLevelType w:val="hybridMultilevel"/>
    <w:tmpl w:val="11CE5F94"/>
    <w:lvl w:ilvl="0" w:tplc="A274BA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E6449"/>
    <w:multiLevelType w:val="hybridMultilevel"/>
    <w:tmpl w:val="189EC530"/>
    <w:lvl w:ilvl="0" w:tplc="EC90D6C8">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BBB0F47"/>
    <w:multiLevelType w:val="hybridMultilevel"/>
    <w:tmpl w:val="A7BA3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64DE"/>
    <w:rsid w:val="0001042E"/>
    <w:rsid w:val="000207F2"/>
    <w:rsid w:val="00022CFD"/>
    <w:rsid w:val="00027540"/>
    <w:rsid w:val="00042D9E"/>
    <w:rsid w:val="00045DA8"/>
    <w:rsid w:val="000578B1"/>
    <w:rsid w:val="000715D6"/>
    <w:rsid w:val="000800FA"/>
    <w:rsid w:val="00080221"/>
    <w:rsid w:val="000861F8"/>
    <w:rsid w:val="000A485C"/>
    <w:rsid w:val="000A7D73"/>
    <w:rsid w:val="000B6AAB"/>
    <w:rsid w:val="000C3B2B"/>
    <w:rsid w:val="000D74E5"/>
    <w:rsid w:val="000E11B4"/>
    <w:rsid w:val="000E4999"/>
    <w:rsid w:val="001006E3"/>
    <w:rsid w:val="00106786"/>
    <w:rsid w:val="00107638"/>
    <w:rsid w:val="00112618"/>
    <w:rsid w:val="00133E07"/>
    <w:rsid w:val="0016511A"/>
    <w:rsid w:val="00167D45"/>
    <w:rsid w:val="00176AEF"/>
    <w:rsid w:val="001A08D5"/>
    <w:rsid w:val="001B5343"/>
    <w:rsid w:val="001B5373"/>
    <w:rsid w:val="001C1388"/>
    <w:rsid w:val="001E2384"/>
    <w:rsid w:val="001E3E8C"/>
    <w:rsid w:val="00204E47"/>
    <w:rsid w:val="00206A13"/>
    <w:rsid w:val="00236B8D"/>
    <w:rsid w:val="0023769A"/>
    <w:rsid w:val="00247359"/>
    <w:rsid w:val="00270FCD"/>
    <w:rsid w:val="00291EEA"/>
    <w:rsid w:val="002974A2"/>
    <w:rsid w:val="002A4426"/>
    <w:rsid w:val="002C28BE"/>
    <w:rsid w:val="002C2E03"/>
    <w:rsid w:val="002C389F"/>
    <w:rsid w:val="003042DF"/>
    <w:rsid w:val="00304537"/>
    <w:rsid w:val="0031159E"/>
    <w:rsid w:val="00312F6E"/>
    <w:rsid w:val="00315091"/>
    <w:rsid w:val="003219B1"/>
    <w:rsid w:val="00321DE6"/>
    <w:rsid w:val="00325206"/>
    <w:rsid w:val="00327168"/>
    <w:rsid w:val="003727D0"/>
    <w:rsid w:val="00377CFB"/>
    <w:rsid w:val="00390C9F"/>
    <w:rsid w:val="00397E92"/>
    <w:rsid w:val="003B1417"/>
    <w:rsid w:val="003B4C34"/>
    <w:rsid w:val="003C38C6"/>
    <w:rsid w:val="003C645C"/>
    <w:rsid w:val="003D5E25"/>
    <w:rsid w:val="003F1B6F"/>
    <w:rsid w:val="00412841"/>
    <w:rsid w:val="004413E2"/>
    <w:rsid w:val="00444A98"/>
    <w:rsid w:val="00475AAB"/>
    <w:rsid w:val="0049147A"/>
    <w:rsid w:val="00492F65"/>
    <w:rsid w:val="00495DD2"/>
    <w:rsid w:val="004A245C"/>
    <w:rsid w:val="004B4DD3"/>
    <w:rsid w:val="004C09B7"/>
    <w:rsid w:val="004C48D0"/>
    <w:rsid w:val="004D0FBF"/>
    <w:rsid w:val="004D1212"/>
    <w:rsid w:val="004D3B6C"/>
    <w:rsid w:val="004D7CBD"/>
    <w:rsid w:val="00502C6F"/>
    <w:rsid w:val="0052480D"/>
    <w:rsid w:val="00552443"/>
    <w:rsid w:val="00567F3E"/>
    <w:rsid w:val="00572892"/>
    <w:rsid w:val="00581188"/>
    <w:rsid w:val="00587CDE"/>
    <w:rsid w:val="00590BF1"/>
    <w:rsid w:val="005A6C41"/>
    <w:rsid w:val="005B2A9C"/>
    <w:rsid w:val="005B351D"/>
    <w:rsid w:val="005D1861"/>
    <w:rsid w:val="005D320C"/>
    <w:rsid w:val="005E6FAD"/>
    <w:rsid w:val="005E7894"/>
    <w:rsid w:val="005F23AA"/>
    <w:rsid w:val="005F6D9B"/>
    <w:rsid w:val="00610AAC"/>
    <w:rsid w:val="00614BAD"/>
    <w:rsid w:val="00614EC3"/>
    <w:rsid w:val="00616F42"/>
    <w:rsid w:val="00631F53"/>
    <w:rsid w:val="0063721E"/>
    <w:rsid w:val="00642020"/>
    <w:rsid w:val="00657BB0"/>
    <w:rsid w:val="0066042E"/>
    <w:rsid w:val="00666219"/>
    <w:rsid w:val="006C68FF"/>
    <w:rsid w:val="006F3CB4"/>
    <w:rsid w:val="00704C42"/>
    <w:rsid w:val="0072441C"/>
    <w:rsid w:val="00737C03"/>
    <w:rsid w:val="00762E8A"/>
    <w:rsid w:val="007632CA"/>
    <w:rsid w:val="00765CC3"/>
    <w:rsid w:val="00775ABD"/>
    <w:rsid w:val="00776B7A"/>
    <w:rsid w:val="00776E54"/>
    <w:rsid w:val="00784B0D"/>
    <w:rsid w:val="007878B8"/>
    <w:rsid w:val="007A7027"/>
    <w:rsid w:val="007C7273"/>
    <w:rsid w:val="007D7D19"/>
    <w:rsid w:val="007E0547"/>
    <w:rsid w:val="007E41A8"/>
    <w:rsid w:val="007F2266"/>
    <w:rsid w:val="007F2877"/>
    <w:rsid w:val="008045C0"/>
    <w:rsid w:val="0080482A"/>
    <w:rsid w:val="00807AFC"/>
    <w:rsid w:val="00821D97"/>
    <w:rsid w:val="00831140"/>
    <w:rsid w:val="00850425"/>
    <w:rsid w:val="0085122A"/>
    <w:rsid w:val="008663A4"/>
    <w:rsid w:val="00867C29"/>
    <w:rsid w:val="008753D9"/>
    <w:rsid w:val="00881F99"/>
    <w:rsid w:val="00892790"/>
    <w:rsid w:val="00893249"/>
    <w:rsid w:val="00893360"/>
    <w:rsid w:val="008A56E8"/>
    <w:rsid w:val="008A629E"/>
    <w:rsid w:val="008B379E"/>
    <w:rsid w:val="008C5C89"/>
    <w:rsid w:val="008F7868"/>
    <w:rsid w:val="00906474"/>
    <w:rsid w:val="009071E9"/>
    <w:rsid w:val="00911D35"/>
    <w:rsid w:val="00914C1C"/>
    <w:rsid w:val="00917845"/>
    <w:rsid w:val="00931AEB"/>
    <w:rsid w:val="00954A42"/>
    <w:rsid w:val="00960DB7"/>
    <w:rsid w:val="009615B0"/>
    <w:rsid w:val="00963D1B"/>
    <w:rsid w:val="00977829"/>
    <w:rsid w:val="00981F33"/>
    <w:rsid w:val="00986AA8"/>
    <w:rsid w:val="00997CA1"/>
    <w:rsid w:val="009C1D99"/>
    <w:rsid w:val="009C561C"/>
    <w:rsid w:val="00A11BCD"/>
    <w:rsid w:val="00A304BF"/>
    <w:rsid w:val="00A55973"/>
    <w:rsid w:val="00A5649A"/>
    <w:rsid w:val="00A65A6F"/>
    <w:rsid w:val="00A7156F"/>
    <w:rsid w:val="00A7746D"/>
    <w:rsid w:val="00A844B5"/>
    <w:rsid w:val="00AA2E4A"/>
    <w:rsid w:val="00AA5281"/>
    <w:rsid w:val="00AA632B"/>
    <w:rsid w:val="00AB080C"/>
    <w:rsid w:val="00AB71D5"/>
    <w:rsid w:val="00AC77C3"/>
    <w:rsid w:val="00AD6AD8"/>
    <w:rsid w:val="00AE06AA"/>
    <w:rsid w:val="00B0362E"/>
    <w:rsid w:val="00B04612"/>
    <w:rsid w:val="00B0625B"/>
    <w:rsid w:val="00B113EF"/>
    <w:rsid w:val="00B1164E"/>
    <w:rsid w:val="00B12AAF"/>
    <w:rsid w:val="00B15A1B"/>
    <w:rsid w:val="00B20FF6"/>
    <w:rsid w:val="00B225F6"/>
    <w:rsid w:val="00B26FF5"/>
    <w:rsid w:val="00B449F7"/>
    <w:rsid w:val="00B47E71"/>
    <w:rsid w:val="00B80A18"/>
    <w:rsid w:val="00B85591"/>
    <w:rsid w:val="00BA1299"/>
    <w:rsid w:val="00BA6DE5"/>
    <w:rsid w:val="00BB5D11"/>
    <w:rsid w:val="00BC0204"/>
    <w:rsid w:val="00BD4617"/>
    <w:rsid w:val="00BD6459"/>
    <w:rsid w:val="00BE5FFC"/>
    <w:rsid w:val="00C12E8E"/>
    <w:rsid w:val="00C41BC8"/>
    <w:rsid w:val="00C60B64"/>
    <w:rsid w:val="00C6168A"/>
    <w:rsid w:val="00C84D91"/>
    <w:rsid w:val="00C92AF6"/>
    <w:rsid w:val="00CA5DBB"/>
    <w:rsid w:val="00CA7A5F"/>
    <w:rsid w:val="00CC4487"/>
    <w:rsid w:val="00CC6660"/>
    <w:rsid w:val="00CF5307"/>
    <w:rsid w:val="00D10CF5"/>
    <w:rsid w:val="00D21359"/>
    <w:rsid w:val="00D33936"/>
    <w:rsid w:val="00D4305C"/>
    <w:rsid w:val="00D46652"/>
    <w:rsid w:val="00DB50BD"/>
    <w:rsid w:val="00DB61B3"/>
    <w:rsid w:val="00DC1238"/>
    <w:rsid w:val="00DD4ADD"/>
    <w:rsid w:val="00DF2CF0"/>
    <w:rsid w:val="00DF3946"/>
    <w:rsid w:val="00E00439"/>
    <w:rsid w:val="00E17009"/>
    <w:rsid w:val="00E21C91"/>
    <w:rsid w:val="00E21C9F"/>
    <w:rsid w:val="00E23C42"/>
    <w:rsid w:val="00E26DFB"/>
    <w:rsid w:val="00E561B3"/>
    <w:rsid w:val="00E60E82"/>
    <w:rsid w:val="00E6116B"/>
    <w:rsid w:val="00E62906"/>
    <w:rsid w:val="00E675E8"/>
    <w:rsid w:val="00E767CA"/>
    <w:rsid w:val="00E833B6"/>
    <w:rsid w:val="00E85011"/>
    <w:rsid w:val="00E866D4"/>
    <w:rsid w:val="00EA5E86"/>
    <w:rsid w:val="00ED2B9D"/>
    <w:rsid w:val="00ED59B2"/>
    <w:rsid w:val="00EF14BD"/>
    <w:rsid w:val="00F0043B"/>
    <w:rsid w:val="00F00AD0"/>
    <w:rsid w:val="00F76056"/>
    <w:rsid w:val="00F966A1"/>
    <w:rsid w:val="00FA5723"/>
    <w:rsid w:val="00FB5078"/>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304537"/>
    <w:pPr>
      <w:ind w:left="720"/>
      <w:contextualSpacing/>
    </w:pPr>
  </w:style>
  <w:style w:type="character" w:customStyle="1" w:styleId="docsum-authors">
    <w:name w:val="docsum-authors"/>
    <w:basedOn w:val="DefaultParagraphFont"/>
    <w:rsid w:val="00BC0204"/>
  </w:style>
  <w:style w:type="character" w:customStyle="1" w:styleId="docsum-journal-citation">
    <w:name w:val="docsum-journal-citation"/>
    <w:basedOn w:val="DefaultParagraphFont"/>
    <w:rsid w:val="00BC0204"/>
  </w:style>
  <w:style w:type="character" w:styleId="FollowedHyperlink">
    <w:name w:val="FollowedHyperlink"/>
    <w:basedOn w:val="DefaultParagraphFont"/>
    <w:uiPriority w:val="99"/>
    <w:semiHidden/>
    <w:unhideWhenUsed/>
    <w:rsid w:val="00E17009"/>
    <w:rPr>
      <w:color w:val="FF00FF" w:themeColor="followedHyperlink"/>
      <w:u w:val="single"/>
    </w:rPr>
  </w:style>
  <w:style w:type="character" w:customStyle="1" w:styleId="hwtze">
    <w:name w:val="hwtze"/>
    <w:basedOn w:val="DefaultParagraphFont"/>
    <w:rsid w:val="0031159E"/>
  </w:style>
  <w:style w:type="character" w:customStyle="1" w:styleId="rynqvb">
    <w:name w:val="rynqvb"/>
    <w:basedOn w:val="DefaultParagraphFont"/>
    <w:rsid w:val="00311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09609186">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1155217170">
      <w:bodyDiv w:val="1"/>
      <w:marLeft w:val="0"/>
      <w:marRight w:val="0"/>
      <w:marTop w:val="0"/>
      <w:marBottom w:val="0"/>
      <w:divBdr>
        <w:top w:val="none" w:sz="0" w:space="0" w:color="auto"/>
        <w:left w:val="none" w:sz="0" w:space="0" w:color="auto"/>
        <w:bottom w:val="none" w:sz="0" w:space="0" w:color="auto"/>
        <w:right w:val="none" w:sz="0" w:space="0" w:color="auto"/>
      </w:divBdr>
    </w:div>
    <w:div w:id="1181746746">
      <w:bodyDiv w:val="1"/>
      <w:marLeft w:val="0"/>
      <w:marRight w:val="0"/>
      <w:marTop w:val="0"/>
      <w:marBottom w:val="0"/>
      <w:divBdr>
        <w:top w:val="none" w:sz="0" w:space="0" w:color="auto"/>
        <w:left w:val="none" w:sz="0" w:space="0" w:color="auto"/>
        <w:bottom w:val="none" w:sz="0" w:space="0" w:color="auto"/>
        <w:right w:val="none" w:sz="0" w:space="0" w:color="auto"/>
      </w:divBdr>
      <w:divsChild>
        <w:div w:id="1324695862">
          <w:marLeft w:val="0"/>
          <w:marRight w:val="0"/>
          <w:marTop w:val="0"/>
          <w:marBottom w:val="0"/>
          <w:divBdr>
            <w:top w:val="none" w:sz="0" w:space="0" w:color="auto"/>
            <w:left w:val="none" w:sz="0" w:space="0" w:color="auto"/>
            <w:bottom w:val="none" w:sz="0" w:space="0" w:color="auto"/>
            <w:right w:val="none" w:sz="0" w:space="0" w:color="auto"/>
          </w:divBdr>
          <w:divsChild>
            <w:div w:id="1997680143">
              <w:marLeft w:val="0"/>
              <w:marRight w:val="0"/>
              <w:marTop w:val="0"/>
              <w:marBottom w:val="0"/>
              <w:divBdr>
                <w:top w:val="none" w:sz="0" w:space="0" w:color="auto"/>
                <w:left w:val="none" w:sz="0" w:space="0" w:color="auto"/>
                <w:bottom w:val="none" w:sz="0" w:space="0" w:color="auto"/>
                <w:right w:val="none" w:sz="0" w:space="0" w:color="auto"/>
              </w:divBdr>
            </w:div>
            <w:div w:id="184489170">
              <w:marLeft w:val="0"/>
              <w:marRight w:val="0"/>
              <w:marTop w:val="300"/>
              <w:marBottom w:val="0"/>
              <w:divBdr>
                <w:top w:val="none" w:sz="0" w:space="0" w:color="auto"/>
                <w:left w:val="none" w:sz="0" w:space="0" w:color="auto"/>
                <w:bottom w:val="none" w:sz="0" w:space="0" w:color="auto"/>
                <w:right w:val="none" w:sz="0" w:space="0" w:color="auto"/>
              </w:divBdr>
            </w:div>
            <w:div w:id="1014573021">
              <w:marLeft w:val="0"/>
              <w:marRight w:val="0"/>
              <w:marTop w:val="0"/>
              <w:marBottom w:val="0"/>
              <w:divBdr>
                <w:top w:val="none" w:sz="0" w:space="0" w:color="auto"/>
                <w:left w:val="none" w:sz="0" w:space="0" w:color="auto"/>
                <w:bottom w:val="none" w:sz="0" w:space="0" w:color="auto"/>
                <w:right w:val="none" w:sz="0" w:space="0" w:color="auto"/>
              </w:divBdr>
            </w:div>
            <w:div w:id="1439062057">
              <w:marLeft w:val="0"/>
              <w:marRight w:val="0"/>
              <w:marTop w:val="300"/>
              <w:marBottom w:val="0"/>
              <w:divBdr>
                <w:top w:val="none" w:sz="0" w:space="0" w:color="auto"/>
                <w:left w:val="none" w:sz="0" w:space="0" w:color="auto"/>
                <w:bottom w:val="none" w:sz="0" w:space="0" w:color="auto"/>
                <w:right w:val="none" w:sz="0" w:space="0" w:color="auto"/>
              </w:divBdr>
            </w:div>
            <w:div w:id="7492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226062798">
      <w:bodyDiv w:val="1"/>
      <w:marLeft w:val="0"/>
      <w:marRight w:val="0"/>
      <w:marTop w:val="0"/>
      <w:marBottom w:val="0"/>
      <w:divBdr>
        <w:top w:val="none" w:sz="0" w:space="0" w:color="auto"/>
        <w:left w:val="none" w:sz="0" w:space="0" w:color="auto"/>
        <w:bottom w:val="none" w:sz="0" w:space="0" w:color="auto"/>
        <w:right w:val="none" w:sz="0" w:space="0" w:color="auto"/>
      </w:divBdr>
      <w:divsChild>
        <w:div w:id="1485705906">
          <w:marLeft w:val="0"/>
          <w:marRight w:val="0"/>
          <w:marTop w:val="0"/>
          <w:marBottom w:val="0"/>
          <w:divBdr>
            <w:top w:val="none" w:sz="0" w:space="0" w:color="auto"/>
            <w:left w:val="none" w:sz="0" w:space="0" w:color="auto"/>
            <w:bottom w:val="none" w:sz="0" w:space="0" w:color="auto"/>
            <w:right w:val="none" w:sz="0" w:space="0" w:color="auto"/>
          </w:divBdr>
        </w:div>
      </w:divsChild>
    </w:div>
    <w:div w:id="1547834003">
      <w:bodyDiv w:val="1"/>
      <w:marLeft w:val="0"/>
      <w:marRight w:val="0"/>
      <w:marTop w:val="0"/>
      <w:marBottom w:val="0"/>
      <w:divBdr>
        <w:top w:val="none" w:sz="0" w:space="0" w:color="auto"/>
        <w:left w:val="none" w:sz="0" w:space="0" w:color="auto"/>
        <w:bottom w:val="none" w:sz="0" w:space="0" w:color="auto"/>
        <w:right w:val="none" w:sz="0" w:space="0" w:color="auto"/>
      </w:divBdr>
      <w:divsChild>
        <w:div w:id="84922068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paigns-gceurope.com/amalgam-alternativ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ingtree.com/deploy/tree.php?z=embed&amp;tree_id=510390943"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eur-lex.europa.eu/legal-content/EN/TXT/HTML/?uri=CELEX:52023PC0395" TargetMode="External"/><Relationship Id="rId4" Type="http://schemas.openxmlformats.org/officeDocument/2006/relationships/settings" Target="settings.xml"/><Relationship Id="rId9" Type="http://schemas.openxmlformats.org/officeDocument/2006/relationships/hyperlink" Target="https://environment.ec.europa.eu/publications/proposal-revision-mercury-regulation_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818DD-A4CF-459F-8C7C-A51F46146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1249</Words>
  <Characters>7122</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6</cp:revision>
  <cp:lastPrinted>2020-01-21T15:04:00Z</cp:lastPrinted>
  <dcterms:created xsi:type="dcterms:W3CDTF">2023-09-14T12:56:00Z</dcterms:created>
  <dcterms:modified xsi:type="dcterms:W3CDTF">2023-09-14T14:41:00Z</dcterms:modified>
</cp:coreProperties>
</file>