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FF0E47" w:rsidRDefault="00A304BF">
      <w:pPr>
        <w:spacing w:line="360" w:lineRule="auto"/>
        <w:ind w:right="497"/>
        <w:jc w:val="right"/>
        <w:rPr>
          <w:rFonts w:ascii="Verdana" w:eastAsia="Verdana" w:hAnsi="Verdana" w:cs="Verdana"/>
          <w:b/>
          <w:bCs/>
          <w:color w:val="404040"/>
          <w:sz w:val="30"/>
          <w:szCs w:val="30"/>
          <w:u w:val="single" w:color="404040"/>
          <w:lang w:val="sk-SK"/>
        </w:rPr>
      </w:pPr>
      <w:r w:rsidRPr="00FF0E47">
        <w:rPr>
          <w:rFonts w:ascii="Verdana" w:hAnsi="Verdana"/>
          <w:b/>
          <w:bCs/>
          <w:color w:val="404040"/>
          <w:sz w:val="30"/>
          <w:szCs w:val="30"/>
          <w:u w:val="single" w:color="404040"/>
          <w:lang w:val="sk-SK"/>
        </w:rPr>
        <w:t>Press release</w:t>
      </w:r>
    </w:p>
    <w:p w14:paraId="0C69B5D1" w14:textId="77777777" w:rsidR="00270FCD" w:rsidRPr="00FF0E47" w:rsidRDefault="00270FCD">
      <w:pPr>
        <w:spacing w:line="360" w:lineRule="auto"/>
        <w:jc w:val="both"/>
        <w:rPr>
          <w:rFonts w:ascii="Verdana" w:eastAsia="Verdana" w:hAnsi="Verdana" w:cs="Verdana"/>
          <w:color w:val="404040"/>
          <w:u w:val="single"/>
          <w:lang w:val="sk-SK"/>
        </w:rPr>
      </w:pPr>
    </w:p>
    <w:p w14:paraId="44BB3312" w14:textId="5AE7C315" w:rsidR="004C48D0" w:rsidRPr="00FF0E47" w:rsidRDefault="00FF0E47">
      <w:pPr>
        <w:spacing w:line="360" w:lineRule="auto"/>
        <w:jc w:val="both"/>
        <w:rPr>
          <w:rFonts w:ascii="Verdana" w:eastAsia="Verdana" w:hAnsi="Verdana" w:cs="Verdana"/>
          <w:color w:val="404040"/>
          <w:u w:val="single"/>
          <w:lang w:val="sk-SK"/>
        </w:rPr>
      </w:pPr>
      <w:r w:rsidRPr="00FF0E47">
        <w:rPr>
          <w:rFonts w:ascii="Verdana" w:eastAsia="Verdana" w:hAnsi="Verdana" w:cs="Verdana"/>
          <w:color w:val="404040"/>
          <w:u w:val="single"/>
          <w:lang w:val="sk-SK"/>
        </w:rPr>
        <w:t>Európska komisia vydala nový návrh na postupné ukončenie používania amalgámu</w:t>
      </w:r>
      <w:r w:rsidR="00304537" w:rsidRPr="00FF0E47">
        <w:rPr>
          <w:rFonts w:ascii="Verdana" w:eastAsia="Verdana" w:hAnsi="Verdana" w:cs="Verdana"/>
          <w:color w:val="404040"/>
          <w:u w:val="single"/>
          <w:lang w:val="sk-SK"/>
        </w:rPr>
        <w:t xml:space="preserve"> </w:t>
      </w:r>
    </w:p>
    <w:p w14:paraId="4CB4B907" w14:textId="77777777" w:rsidR="00270FCD" w:rsidRPr="00FF0E47" w:rsidRDefault="00270FCD">
      <w:pPr>
        <w:spacing w:line="360" w:lineRule="auto"/>
        <w:jc w:val="both"/>
        <w:rPr>
          <w:rFonts w:ascii="Verdana" w:hAnsi="Verdana"/>
          <w:b/>
          <w:bCs/>
          <w:color w:val="404040"/>
          <w:sz w:val="28"/>
          <w:szCs w:val="28"/>
          <w:u w:color="404040"/>
          <w:lang w:val="sk-SK"/>
        </w:rPr>
      </w:pPr>
    </w:p>
    <w:p w14:paraId="6E9A83FB" w14:textId="270289A5" w:rsidR="00FF0E47" w:rsidRPr="00FF0E47" w:rsidRDefault="00FF0E47" w:rsidP="0072441C">
      <w:pPr>
        <w:spacing w:line="360" w:lineRule="auto"/>
        <w:jc w:val="both"/>
        <w:rPr>
          <w:rFonts w:ascii="Verdana" w:hAnsi="Verdana"/>
          <w:b/>
          <w:bCs/>
          <w:color w:val="404040"/>
          <w:sz w:val="28"/>
          <w:szCs w:val="28"/>
          <w:u w:color="404040"/>
          <w:lang w:val="sk-SK"/>
        </w:rPr>
      </w:pPr>
      <w:r w:rsidRPr="00FF0E47">
        <w:rPr>
          <w:rFonts w:ascii="Verdana" w:hAnsi="Verdana"/>
          <w:b/>
          <w:bCs/>
          <w:color w:val="404040"/>
          <w:sz w:val="28"/>
          <w:szCs w:val="28"/>
          <w:u w:color="404040"/>
          <w:lang w:val="sk-SK"/>
        </w:rPr>
        <w:t>Zákaz amalgámu ide na plný plyn... Aké sú alternatívy?</w:t>
      </w:r>
    </w:p>
    <w:p w14:paraId="400AC2CB" w14:textId="77777777" w:rsidR="007D7D19" w:rsidRPr="00FF0E47" w:rsidRDefault="007D7D19" w:rsidP="00A65A6F">
      <w:pPr>
        <w:spacing w:line="360" w:lineRule="auto"/>
        <w:jc w:val="both"/>
        <w:rPr>
          <w:rFonts w:ascii="Verdana" w:eastAsia="Verdana" w:hAnsi="Verdana" w:cs="Verdana"/>
          <w:color w:val="404040"/>
          <w:sz w:val="20"/>
          <w:szCs w:val="20"/>
          <w:u w:color="404040"/>
          <w:lang w:val="sk-SK"/>
        </w:rPr>
      </w:pPr>
    </w:p>
    <w:p w14:paraId="4229531B" w14:textId="77777777" w:rsidR="003F0101" w:rsidRDefault="003F0101" w:rsidP="007D7D19">
      <w:pPr>
        <w:spacing w:line="360" w:lineRule="auto"/>
        <w:jc w:val="both"/>
        <w:rPr>
          <w:rFonts w:ascii="Verdana" w:eastAsia="Verdana" w:hAnsi="Verdana" w:cs="Verdana"/>
          <w:b/>
          <w:bCs/>
          <w:color w:val="404040"/>
          <w:sz w:val="20"/>
          <w:szCs w:val="20"/>
          <w:u w:color="404040"/>
          <w:lang w:val="sk-SK"/>
        </w:rPr>
      </w:pPr>
      <w:r w:rsidRPr="003F0101">
        <w:rPr>
          <w:rFonts w:ascii="Verdana" w:eastAsia="Verdana" w:hAnsi="Verdana" w:cs="Verdana"/>
          <w:b/>
          <w:bCs/>
          <w:color w:val="404040"/>
          <w:sz w:val="20"/>
          <w:szCs w:val="20"/>
          <w:u w:color="404040"/>
          <w:lang w:val="sk-SK"/>
        </w:rPr>
        <w:t>Zubný amalgám predstavuje najväčšie zostávajúce zámerné využitie ortuti v Európe, odhaduje sa na približne 40 t v roku 2019. Následný vplyv na životné prostredie bol hlavným dôvodom globálneho útlmu v posledných desaťročiach.</w:t>
      </w:r>
    </w:p>
    <w:p w14:paraId="03780FE8" w14:textId="61B6F030" w:rsidR="00AB71D5" w:rsidRPr="00FF0E47" w:rsidRDefault="004C09B7" w:rsidP="007D7D19">
      <w:pPr>
        <w:spacing w:line="360" w:lineRule="auto"/>
        <w:jc w:val="both"/>
        <w:rPr>
          <w:rFonts w:ascii="Verdana" w:eastAsia="Verdana" w:hAnsi="Verdana" w:cs="Verdana"/>
          <w:b/>
          <w:bCs/>
          <w:color w:val="404040"/>
          <w:sz w:val="20"/>
          <w:szCs w:val="20"/>
          <w:u w:color="404040"/>
          <w:lang w:val="sk-SK"/>
        </w:rPr>
      </w:pPr>
      <w:r w:rsidRPr="00FF0E47">
        <w:rPr>
          <w:rFonts w:ascii="Verdana" w:eastAsia="Verdana" w:hAnsi="Verdana" w:cs="Verdana"/>
          <w:b/>
          <w:bCs/>
          <w:color w:val="404040"/>
          <w:sz w:val="20"/>
          <w:szCs w:val="20"/>
          <w:u w:color="404040"/>
          <w:lang w:val="sk-SK"/>
        </w:rPr>
        <w:t xml:space="preserve"> </w:t>
      </w:r>
    </w:p>
    <w:p w14:paraId="03975FA1" w14:textId="4C1167C9" w:rsidR="005F23AA" w:rsidRPr="00FF0E47" w:rsidRDefault="003F0101" w:rsidP="007D7D19">
      <w:pPr>
        <w:spacing w:line="360" w:lineRule="auto"/>
        <w:jc w:val="both"/>
        <w:rPr>
          <w:rFonts w:ascii="Verdana" w:hAnsi="Verdana" w:cstheme="majorHAnsi"/>
          <w:sz w:val="20"/>
          <w:szCs w:val="20"/>
          <w:lang w:val="sk-SK"/>
        </w:rPr>
      </w:pPr>
      <w:r w:rsidRPr="003F0101">
        <w:rPr>
          <w:rFonts w:ascii="Verdana" w:hAnsi="Verdana" w:cstheme="majorHAnsi"/>
          <w:sz w:val="20"/>
          <w:szCs w:val="20"/>
          <w:lang w:val="sk-SK"/>
        </w:rPr>
        <w:t>Európska rada predložila 14. júla 2023 oficiálny návrh na zákaz používania amalgámu na akékoľvek zubné ošetrenie vo svojich členských štátoch od 1. januára 2025. Používanie zubného amalgámu pre deti a tehotné alebo dojčiace ženy, bol v EÚ zakázaný už od roku 2018, okrem niekoľkých prísnych výnimiek. S touto novou legislatívou v nedohľadne sa opäť zdôrazňuje potreba alternatívnych riešení</w:t>
      </w:r>
      <w:r w:rsidR="004C09B7" w:rsidRPr="00FF0E47">
        <w:rPr>
          <w:rFonts w:ascii="Verdana" w:hAnsi="Verdana" w:cstheme="majorHAnsi"/>
          <w:sz w:val="20"/>
          <w:szCs w:val="20"/>
          <w:lang w:val="sk-SK"/>
        </w:rPr>
        <w:t>.</w:t>
      </w:r>
    </w:p>
    <w:p w14:paraId="4664CFE1" w14:textId="01DE790F" w:rsidR="004C09B7" w:rsidRDefault="004C09B7" w:rsidP="007D7D19">
      <w:pPr>
        <w:spacing w:line="360" w:lineRule="auto"/>
        <w:jc w:val="both"/>
        <w:rPr>
          <w:rFonts w:ascii="Verdana" w:hAnsi="Verdana" w:cstheme="majorHAnsi"/>
          <w:sz w:val="20"/>
          <w:szCs w:val="20"/>
          <w:lang w:val="sk-SK"/>
        </w:rPr>
      </w:pPr>
    </w:p>
    <w:p w14:paraId="7483A26A" w14:textId="097A8DB3" w:rsidR="00377CFB" w:rsidRPr="00FF0E47" w:rsidRDefault="003F0101" w:rsidP="007D7D19">
      <w:pPr>
        <w:spacing w:line="360" w:lineRule="auto"/>
        <w:jc w:val="both"/>
        <w:rPr>
          <w:rFonts w:ascii="Verdana" w:hAnsi="Verdana" w:cstheme="majorHAnsi"/>
          <w:sz w:val="20"/>
          <w:szCs w:val="20"/>
          <w:lang w:val="sk-SK"/>
        </w:rPr>
      </w:pPr>
      <w:r w:rsidRPr="003F0101">
        <w:rPr>
          <w:rFonts w:ascii="Verdana" w:hAnsi="Verdana" w:cstheme="majorHAnsi"/>
          <w:sz w:val="20"/>
          <w:szCs w:val="20"/>
          <w:lang w:val="sk-SK"/>
        </w:rPr>
        <w:t>GC už mnoho rokov predpokladá postupné vyraďovanie amalgámu. „V súčasnosti existuje na trhoch niekoľko životaschopných alternatív bez obsahu ortuti, ale musíme zabezpečiť, aby boli splnené všetky požiadavky, a to aj z pohľadu pacienta,“ uviedol Bart Dopheide, generálny riaditeľ Scientific Services v GC Europe. „Priame porovnania medzi skl</w:t>
      </w:r>
      <w:r>
        <w:rPr>
          <w:rFonts w:ascii="Verdana" w:hAnsi="Verdana" w:cstheme="majorHAnsi"/>
          <w:sz w:val="20"/>
          <w:szCs w:val="20"/>
          <w:lang w:val="sk-SK"/>
        </w:rPr>
        <w:t>o</w:t>
      </w:r>
      <w:r w:rsidRPr="003F0101">
        <w:rPr>
          <w:rFonts w:ascii="Verdana" w:hAnsi="Verdana" w:cstheme="majorHAnsi"/>
          <w:sz w:val="20"/>
          <w:szCs w:val="20"/>
          <w:lang w:val="sk-SK"/>
        </w:rPr>
        <w:t xml:space="preserve"> hybridnými </w:t>
      </w:r>
      <w:r>
        <w:rPr>
          <w:rFonts w:ascii="Verdana" w:hAnsi="Verdana" w:cstheme="majorHAnsi"/>
          <w:sz w:val="20"/>
          <w:szCs w:val="20"/>
          <w:lang w:val="sk-SK"/>
        </w:rPr>
        <w:t>výplňami</w:t>
      </w:r>
      <w:r w:rsidRPr="003F0101">
        <w:rPr>
          <w:rFonts w:ascii="Verdana" w:hAnsi="Verdana" w:cstheme="majorHAnsi"/>
          <w:sz w:val="20"/>
          <w:szCs w:val="20"/>
          <w:lang w:val="sk-SK"/>
        </w:rPr>
        <w:t xml:space="preserve"> EQUIA Forte a kompozitnými </w:t>
      </w:r>
      <w:r>
        <w:rPr>
          <w:rFonts w:ascii="Verdana" w:hAnsi="Verdana" w:cstheme="majorHAnsi"/>
          <w:sz w:val="20"/>
          <w:szCs w:val="20"/>
          <w:lang w:val="sk-SK"/>
        </w:rPr>
        <w:t>výplňami</w:t>
      </w:r>
      <w:r w:rsidRPr="003F0101">
        <w:rPr>
          <w:rFonts w:ascii="Verdana" w:hAnsi="Verdana" w:cstheme="majorHAnsi"/>
          <w:sz w:val="20"/>
          <w:szCs w:val="20"/>
          <w:lang w:val="sk-SK"/>
        </w:rPr>
        <w:t xml:space="preserve"> – kompozit je novým „zlatým štandardom“ pre priame </w:t>
      </w:r>
      <w:r>
        <w:rPr>
          <w:rFonts w:ascii="Verdana" w:hAnsi="Verdana" w:cstheme="majorHAnsi"/>
          <w:sz w:val="20"/>
          <w:szCs w:val="20"/>
          <w:lang w:val="sk-SK"/>
        </w:rPr>
        <w:t xml:space="preserve">výplne </w:t>
      </w:r>
      <w:r w:rsidRPr="003F0101">
        <w:rPr>
          <w:rFonts w:ascii="Verdana" w:hAnsi="Verdana" w:cstheme="majorHAnsi"/>
          <w:sz w:val="20"/>
          <w:szCs w:val="20"/>
          <w:lang w:val="sk-SK"/>
        </w:rPr>
        <w:t>– v nezávislých akademických štúdiách efektívnosti nákladov zahŕňali počiatočné náklady, ako aj náklady na opätovné ošetrenie a záverom bolo, že skl</w:t>
      </w:r>
      <w:r>
        <w:rPr>
          <w:rFonts w:ascii="Verdana" w:hAnsi="Verdana" w:cstheme="majorHAnsi"/>
          <w:sz w:val="20"/>
          <w:szCs w:val="20"/>
          <w:lang w:val="sk-SK"/>
        </w:rPr>
        <w:t>o</w:t>
      </w:r>
      <w:r w:rsidRPr="003F0101">
        <w:rPr>
          <w:rFonts w:ascii="Verdana" w:hAnsi="Verdana" w:cstheme="majorHAnsi"/>
          <w:sz w:val="20"/>
          <w:szCs w:val="20"/>
          <w:lang w:val="sk-SK"/>
        </w:rPr>
        <w:t xml:space="preserve"> hybridy mali v</w:t>
      </w:r>
      <w:r>
        <w:rPr>
          <w:rFonts w:ascii="Verdana" w:hAnsi="Verdana" w:cstheme="majorHAnsi"/>
          <w:sz w:val="20"/>
          <w:szCs w:val="20"/>
          <w:lang w:val="sk-SK"/>
        </w:rPr>
        <w:t>äčší</w:t>
      </w:r>
      <w:r w:rsidRPr="003F0101">
        <w:rPr>
          <w:rFonts w:ascii="Verdana" w:hAnsi="Verdana" w:cstheme="majorHAnsi"/>
          <w:sz w:val="20"/>
          <w:szCs w:val="20"/>
          <w:lang w:val="sk-SK"/>
        </w:rPr>
        <w:t xml:space="preserve"> potenciál z hľadiska nákladovej efektívnosti. Takéto štúdie sú veľmi dôležité vzhľadom na prechod na alternatívy, ktoré majú pokryť systémy sociálneho zabezpečenia a súkromná zdravotná starostlivosť, aby bola ústna zdravotná starostlivosť dostupná pre každého. Okrem toho sú menej citlivé na techniku, čím je ich </w:t>
      </w:r>
      <w:r>
        <w:rPr>
          <w:rFonts w:ascii="Verdana" w:hAnsi="Verdana" w:cstheme="majorHAnsi"/>
          <w:sz w:val="20"/>
          <w:szCs w:val="20"/>
          <w:lang w:val="sk-SK"/>
        </w:rPr>
        <w:t>používanie</w:t>
      </w:r>
      <w:r w:rsidRPr="003F0101">
        <w:rPr>
          <w:rFonts w:ascii="Verdana" w:hAnsi="Verdana" w:cstheme="majorHAnsi"/>
          <w:sz w:val="20"/>
          <w:szCs w:val="20"/>
          <w:lang w:val="sk-SK"/>
        </w:rPr>
        <w:t xml:space="preserve"> porovnateľnejšie s</w:t>
      </w:r>
      <w:r>
        <w:rPr>
          <w:rFonts w:ascii="Verdana" w:hAnsi="Verdana" w:cstheme="majorHAnsi"/>
          <w:sz w:val="20"/>
          <w:szCs w:val="20"/>
          <w:lang w:val="sk-SK"/>
        </w:rPr>
        <w:t> </w:t>
      </w:r>
      <w:r w:rsidRPr="003F0101">
        <w:rPr>
          <w:rFonts w:ascii="Verdana" w:hAnsi="Verdana" w:cstheme="majorHAnsi"/>
          <w:sz w:val="20"/>
          <w:szCs w:val="20"/>
          <w:lang w:val="sk-SK"/>
        </w:rPr>
        <w:t>amalgámom</w:t>
      </w:r>
      <w:r>
        <w:rPr>
          <w:rFonts w:ascii="Verdana" w:hAnsi="Verdana" w:cstheme="majorHAnsi"/>
          <w:sz w:val="20"/>
          <w:szCs w:val="20"/>
          <w:lang w:val="sk-SK"/>
        </w:rPr>
        <w:t>.</w:t>
      </w:r>
      <w:r w:rsidR="00AB71D5" w:rsidRPr="00FF0E47">
        <w:rPr>
          <w:rFonts w:ascii="Verdana" w:hAnsi="Verdana" w:cstheme="majorHAnsi"/>
          <w:sz w:val="20"/>
          <w:szCs w:val="20"/>
          <w:lang w:val="sk-SK"/>
        </w:rPr>
        <w:t>”</w:t>
      </w:r>
    </w:p>
    <w:p w14:paraId="7DAA531B" w14:textId="77777777" w:rsidR="00377CFB" w:rsidRPr="00FF0E47" w:rsidRDefault="00377CFB" w:rsidP="007D7D19">
      <w:pPr>
        <w:spacing w:line="360" w:lineRule="auto"/>
        <w:jc w:val="both"/>
        <w:rPr>
          <w:rFonts w:ascii="Verdana" w:hAnsi="Verdana" w:cstheme="majorHAnsi"/>
          <w:sz w:val="20"/>
          <w:szCs w:val="20"/>
          <w:lang w:val="sk-SK"/>
        </w:rPr>
      </w:pPr>
    </w:p>
    <w:p w14:paraId="41721C34" w14:textId="17524077" w:rsidR="003F0101" w:rsidRDefault="003F0101" w:rsidP="007D7D19">
      <w:pPr>
        <w:spacing w:line="360" w:lineRule="auto"/>
        <w:jc w:val="both"/>
        <w:rPr>
          <w:rFonts w:ascii="Verdana" w:eastAsia="Verdana" w:hAnsi="Verdana" w:cs="Verdana"/>
          <w:color w:val="404040"/>
          <w:sz w:val="20"/>
          <w:szCs w:val="20"/>
          <w:u w:color="404040"/>
          <w:lang w:val="sk-SK"/>
        </w:rPr>
      </w:pPr>
      <w:r w:rsidRPr="003F0101">
        <w:rPr>
          <w:rFonts w:ascii="Verdana" w:eastAsia="Verdana" w:hAnsi="Verdana" w:cs="Verdana"/>
          <w:color w:val="404040"/>
          <w:sz w:val="20"/>
          <w:szCs w:val="20"/>
          <w:u w:color="404040"/>
          <w:lang w:val="sk-SK"/>
        </w:rPr>
        <w:t xml:space="preserve">Pred tromi rokmi správna rada Foundation Nakao tiež iniciovala „rozhodovací strom možností výplne“ na podporu postupného znižovania amalgámu poskytnutím jasných alternatívnych možností zubným lekárom. „Zahŕňa konsenzus odborníkov, ktorí usmerňujú výber výplňových materiálov,“ pokračuje Bart Dopheide. „Zohľadňujú sa všetky kľúčové aspekty, od mechanických a klinických vlastností až po pohodlie a očakávania pacienta. V materiálovej vede sa dosiahol obrovský pokrok. V súčasnosti máme dokonca veľmi silné priame možnosti pre veľké výplne, ako sú kompozity vystužené vláknami (everX Flow, </w:t>
      </w:r>
      <w:r>
        <w:rPr>
          <w:rFonts w:ascii="Verdana" w:eastAsia="Verdana" w:hAnsi="Verdana" w:cs="Verdana"/>
          <w:color w:val="404040"/>
          <w:sz w:val="20"/>
          <w:szCs w:val="20"/>
          <w:u w:color="404040"/>
          <w:lang w:val="sk-SK"/>
        </w:rPr>
        <w:t>atď.</w:t>
      </w:r>
      <w:r w:rsidRPr="003F0101">
        <w:rPr>
          <w:rFonts w:ascii="Verdana" w:eastAsia="Verdana" w:hAnsi="Verdana" w:cs="Verdana"/>
          <w:color w:val="404040"/>
          <w:sz w:val="20"/>
          <w:szCs w:val="20"/>
          <w:u w:color="404040"/>
          <w:lang w:val="sk-SK"/>
        </w:rPr>
        <w:t xml:space="preserve">). Dokonca aj moderné kompozity s nízkou viskozitou, ako je </w:t>
      </w:r>
      <w:r w:rsidRPr="00FF0E47">
        <w:rPr>
          <w:rFonts w:ascii="Verdana" w:hAnsi="Verdana" w:cstheme="majorHAnsi"/>
          <w:sz w:val="20"/>
          <w:szCs w:val="20"/>
          <w:lang w:val="sk-SK"/>
        </w:rPr>
        <w:t xml:space="preserve">G-ænial </w:t>
      </w:r>
      <w:r w:rsidRPr="003F0101">
        <w:rPr>
          <w:rFonts w:ascii="Verdana" w:eastAsia="Verdana" w:hAnsi="Verdana" w:cs="Verdana"/>
          <w:color w:val="404040"/>
          <w:sz w:val="20"/>
          <w:szCs w:val="20"/>
          <w:u w:color="404040"/>
          <w:lang w:val="sk-SK"/>
        </w:rPr>
        <w:t>Universal Injectable, sú teraz dostatočne pevné pre tieto výplne, čo všetko prispieva k ľahkému umiestneniu</w:t>
      </w:r>
      <w:r w:rsidRPr="00FF0E47">
        <w:rPr>
          <w:rFonts w:ascii="Verdana" w:hAnsi="Verdana" w:cstheme="majorHAnsi"/>
          <w:sz w:val="20"/>
          <w:szCs w:val="20"/>
          <w:lang w:val="sk-SK"/>
        </w:rPr>
        <w:t>.”</w:t>
      </w:r>
    </w:p>
    <w:p w14:paraId="39C09A10" w14:textId="77777777" w:rsidR="003F0101" w:rsidRPr="00FF0E47" w:rsidRDefault="003F0101" w:rsidP="007D7D19">
      <w:pPr>
        <w:spacing w:line="360" w:lineRule="auto"/>
        <w:jc w:val="both"/>
        <w:rPr>
          <w:rFonts w:ascii="Verdana" w:eastAsia="Verdana" w:hAnsi="Verdana" w:cs="Verdana"/>
          <w:color w:val="404040"/>
          <w:sz w:val="20"/>
          <w:szCs w:val="20"/>
          <w:u w:color="404040"/>
          <w:lang w:val="sk-SK"/>
        </w:rPr>
      </w:pPr>
    </w:p>
    <w:p w14:paraId="2841838A" w14:textId="05DBB038" w:rsidR="003F0101" w:rsidRDefault="003F0101" w:rsidP="00981F33">
      <w:pPr>
        <w:spacing w:line="360" w:lineRule="auto"/>
        <w:jc w:val="both"/>
        <w:rPr>
          <w:rFonts w:ascii="Verdana" w:eastAsia="Verdana" w:hAnsi="Verdana" w:cs="Verdana"/>
          <w:color w:val="404040"/>
          <w:sz w:val="20"/>
          <w:szCs w:val="20"/>
          <w:u w:color="404040"/>
          <w:lang w:val="sk-SK"/>
        </w:rPr>
      </w:pPr>
      <w:r w:rsidRPr="003F0101">
        <w:rPr>
          <w:rFonts w:ascii="Verdana" w:eastAsia="Verdana" w:hAnsi="Verdana" w:cs="Verdana"/>
          <w:color w:val="404040"/>
          <w:sz w:val="20"/>
          <w:szCs w:val="20"/>
          <w:u w:color="404040"/>
          <w:lang w:val="sk-SK"/>
        </w:rPr>
        <w:t xml:space="preserve">Viac informácií o najzrejmejších alternatívach amalgámu od GC nájdete na </w:t>
      </w:r>
      <w:hyperlink r:id="rId8" w:history="1">
        <w:r w:rsidRPr="00E90F95">
          <w:rPr>
            <w:rStyle w:val="Hyperlink"/>
            <w:rFonts w:ascii="Verdana" w:eastAsia="Verdana" w:hAnsi="Verdana" w:cs="Verdana"/>
            <w:sz w:val="20"/>
            <w:szCs w:val="20"/>
            <w:lang w:val="sk-SK"/>
          </w:rPr>
          <w:t>https://campaigns-gceurope.com/amalgam-alternative/</w:t>
        </w:r>
      </w:hyperlink>
    </w:p>
    <w:p w14:paraId="2060B7BA" w14:textId="77777777" w:rsidR="003F0101" w:rsidRPr="00FF0E47" w:rsidRDefault="003F0101" w:rsidP="00981F33">
      <w:pPr>
        <w:spacing w:line="360" w:lineRule="auto"/>
        <w:jc w:val="both"/>
        <w:rPr>
          <w:rFonts w:ascii="Verdana" w:hAnsi="Verdana"/>
          <w:sz w:val="14"/>
          <w:szCs w:val="14"/>
          <w:lang w:val="sk-SK"/>
        </w:rPr>
      </w:pPr>
    </w:p>
    <w:p w14:paraId="46FD7482" w14:textId="046B7912" w:rsidR="00A55973" w:rsidRPr="00FF0E47" w:rsidRDefault="00A55973" w:rsidP="00981F33">
      <w:pPr>
        <w:spacing w:line="360" w:lineRule="auto"/>
        <w:jc w:val="both"/>
        <w:rPr>
          <w:rFonts w:ascii="Verdana" w:hAnsi="Verdana"/>
          <w:sz w:val="14"/>
          <w:szCs w:val="14"/>
          <w:lang w:val="sk-SK"/>
        </w:rPr>
      </w:pPr>
    </w:p>
    <w:p w14:paraId="2A1052D9" w14:textId="06E2FF38" w:rsidR="00A55973" w:rsidRPr="00FF0E47" w:rsidRDefault="003F0101" w:rsidP="00981F33">
      <w:pPr>
        <w:spacing w:line="360" w:lineRule="auto"/>
        <w:jc w:val="both"/>
        <w:rPr>
          <w:rFonts w:ascii="Verdana" w:hAnsi="Verdana"/>
          <w:b/>
          <w:bCs/>
          <w:color w:val="auto"/>
          <w:sz w:val="16"/>
          <w:szCs w:val="16"/>
          <w:lang w:val="sk-SK"/>
        </w:rPr>
      </w:pPr>
      <w:r>
        <w:rPr>
          <w:rFonts w:ascii="Verdana" w:hAnsi="Verdana"/>
          <w:b/>
          <w:bCs/>
          <w:color w:val="auto"/>
          <w:sz w:val="16"/>
          <w:szCs w:val="16"/>
          <w:lang w:val="sk-SK"/>
        </w:rPr>
        <w:t>Zdroje</w:t>
      </w:r>
      <w:r w:rsidR="00A55973" w:rsidRPr="00FF0E47">
        <w:rPr>
          <w:rFonts w:ascii="Verdana" w:hAnsi="Verdana"/>
          <w:b/>
          <w:bCs/>
          <w:color w:val="auto"/>
          <w:sz w:val="16"/>
          <w:szCs w:val="16"/>
          <w:lang w:val="sk-SK"/>
        </w:rPr>
        <w:t xml:space="preserve">: </w:t>
      </w:r>
    </w:p>
    <w:p w14:paraId="3D9EA3F9" w14:textId="4CDD6277" w:rsidR="00A55973" w:rsidRPr="00FF0E47" w:rsidRDefault="00115A49" w:rsidP="00397E92">
      <w:pPr>
        <w:pStyle w:val="ListParagraph"/>
        <w:numPr>
          <w:ilvl w:val="0"/>
          <w:numId w:val="3"/>
        </w:numPr>
        <w:spacing w:line="360" w:lineRule="auto"/>
        <w:rPr>
          <w:rFonts w:ascii="Verdana" w:hAnsi="Verdana"/>
          <w:color w:val="auto"/>
          <w:sz w:val="16"/>
          <w:szCs w:val="16"/>
          <w:lang w:val="sk-SK"/>
        </w:rPr>
      </w:pPr>
      <w:hyperlink r:id="rId9" w:history="1">
        <w:r w:rsidR="00A55973" w:rsidRPr="00FF0E47">
          <w:rPr>
            <w:rStyle w:val="Hyperlink"/>
            <w:rFonts w:ascii="Verdana" w:hAnsi="Verdana"/>
            <w:color w:val="auto"/>
            <w:sz w:val="16"/>
            <w:szCs w:val="16"/>
            <w:u w:val="none"/>
            <w:lang w:val="sk-SK"/>
          </w:rPr>
          <w:t>Proposal for a revision of the Mercury Regulation (europa.eu)</w:t>
        </w:r>
      </w:hyperlink>
      <w:r w:rsidR="004C09B7" w:rsidRPr="00FF0E47">
        <w:rPr>
          <w:rFonts w:ascii="Verdana" w:hAnsi="Verdana"/>
          <w:color w:val="auto"/>
          <w:sz w:val="16"/>
          <w:szCs w:val="16"/>
          <w:lang w:val="sk-SK"/>
        </w:rPr>
        <w:t xml:space="preserve"> </w:t>
      </w:r>
      <w:r w:rsidR="004C09B7" w:rsidRPr="00FF0E47">
        <w:rPr>
          <w:rFonts w:ascii="Verdana" w:hAnsi="Verdana"/>
          <w:color w:val="auto"/>
          <w:sz w:val="16"/>
          <w:szCs w:val="16"/>
          <w:u w:val="single"/>
          <w:lang w:val="sk-SK"/>
        </w:rPr>
        <w:t>https://environment.ec.europa.eu/publications/proposal-revision-mercury-regulation_en</w:t>
      </w:r>
    </w:p>
    <w:p w14:paraId="76FC5AD9" w14:textId="5A1DCB54" w:rsidR="00A55973" w:rsidRPr="00FF0E47" w:rsidRDefault="000715D6" w:rsidP="00397E92">
      <w:pPr>
        <w:pStyle w:val="ListParagraph"/>
        <w:numPr>
          <w:ilvl w:val="0"/>
          <w:numId w:val="3"/>
        </w:numPr>
        <w:spacing w:line="360" w:lineRule="auto"/>
        <w:rPr>
          <w:rFonts w:ascii="Verdana" w:hAnsi="Verdana"/>
          <w:color w:val="auto"/>
          <w:sz w:val="16"/>
          <w:szCs w:val="16"/>
          <w:u w:val="single"/>
          <w:lang w:val="sk-SK"/>
        </w:rPr>
      </w:pPr>
      <w:r w:rsidRPr="00FF0E47">
        <w:rPr>
          <w:rFonts w:ascii="Verdana" w:hAnsi="Verdana"/>
          <w:color w:val="auto"/>
          <w:sz w:val="16"/>
          <w:szCs w:val="16"/>
          <w:lang w:val="sk-SK"/>
        </w:rPr>
        <w:t>Regulation of the European Parliament and of the Council a</w:t>
      </w:r>
      <w:r w:rsidR="00A55973" w:rsidRPr="00FF0E47">
        <w:rPr>
          <w:rFonts w:ascii="Verdana" w:hAnsi="Verdana"/>
          <w:color w:val="auto"/>
          <w:sz w:val="16"/>
          <w:szCs w:val="16"/>
          <w:lang w:val="sk-SK"/>
        </w:rPr>
        <w:t xml:space="preserve">mending Regulation (EU) 2017/852 of the European Parliament and of the Council of 17 May 2017 on mercury as regards dental amalgam and other mercury-added products subject to manufacturing, import and export restrictions </w:t>
      </w:r>
      <w:hyperlink r:id="rId10" w:history="1">
        <w:r w:rsidR="00A55973" w:rsidRPr="00FF0E47">
          <w:rPr>
            <w:rStyle w:val="Hyperlink"/>
            <w:rFonts w:ascii="Verdana" w:hAnsi="Verdana"/>
            <w:color w:val="auto"/>
            <w:sz w:val="16"/>
            <w:szCs w:val="16"/>
            <w:lang w:val="sk-SK"/>
          </w:rPr>
          <w:t>eur-lex.europa.eu/legal-content/EN/TXT/HTML/?uri=CELEX:52023PC0395</w:t>
        </w:r>
      </w:hyperlink>
    </w:p>
    <w:p w14:paraId="1FFEC5D7" w14:textId="66EF427F" w:rsidR="00BC0204" w:rsidRPr="00FF0E47" w:rsidRDefault="00BC0204" w:rsidP="00397E92">
      <w:pPr>
        <w:pStyle w:val="ListParagraph"/>
        <w:numPr>
          <w:ilvl w:val="0"/>
          <w:numId w:val="3"/>
        </w:numPr>
        <w:spacing w:line="360" w:lineRule="auto"/>
        <w:rPr>
          <w:rStyle w:val="docsum-journal-citation"/>
          <w:rFonts w:ascii="Verdana" w:hAnsi="Verdana" w:cs="Segoe UI"/>
          <w:color w:val="auto"/>
          <w:sz w:val="16"/>
          <w:szCs w:val="16"/>
          <w:shd w:val="clear" w:color="auto" w:fill="FFFFFF"/>
          <w:lang w:val="sk-SK"/>
        </w:rPr>
      </w:pPr>
      <w:r w:rsidRPr="00FF0E47">
        <w:rPr>
          <w:rStyle w:val="docsum-authors"/>
          <w:rFonts w:ascii="Verdana" w:hAnsi="Verdana" w:cs="Segoe UI"/>
          <w:color w:val="auto"/>
          <w:sz w:val="16"/>
          <w:szCs w:val="16"/>
          <w:shd w:val="clear" w:color="auto" w:fill="FFFFFF"/>
          <w:lang w:val="sk-SK"/>
        </w:rPr>
        <w:t>Schwendicke F, Basso M, Markovic D, Turkun LS, Miletić I.</w:t>
      </w:r>
      <w:r w:rsidR="00BA6DE5" w:rsidRPr="00FF0E47">
        <w:rPr>
          <w:rStyle w:val="docsum-authors"/>
          <w:rFonts w:ascii="Verdana" w:hAnsi="Verdana" w:cs="Segoe UI"/>
          <w:color w:val="auto"/>
          <w:sz w:val="16"/>
          <w:szCs w:val="16"/>
          <w:shd w:val="clear" w:color="auto" w:fill="FFFFFF"/>
          <w:lang w:val="sk-SK"/>
        </w:rPr>
        <w:t xml:space="preserve"> Long-term cost-effectiveness of glass hybrid versus composite in permanent molars</w:t>
      </w:r>
      <w:r w:rsidR="008B379E" w:rsidRPr="00FF0E47">
        <w:rPr>
          <w:rStyle w:val="docsum-authors"/>
          <w:rFonts w:ascii="Verdana" w:hAnsi="Verdana" w:cs="Segoe UI"/>
          <w:color w:val="auto"/>
          <w:sz w:val="16"/>
          <w:szCs w:val="16"/>
          <w:shd w:val="clear" w:color="auto" w:fill="FFFFFF"/>
          <w:lang w:val="sk-SK"/>
        </w:rPr>
        <w:t>.</w:t>
      </w:r>
      <w:r w:rsidR="00BA6DE5" w:rsidRPr="00FF0E47">
        <w:rPr>
          <w:rStyle w:val="docsum-authors"/>
          <w:rFonts w:ascii="Verdana" w:hAnsi="Verdana" w:cs="Segoe UI"/>
          <w:color w:val="auto"/>
          <w:sz w:val="16"/>
          <w:szCs w:val="16"/>
          <w:shd w:val="clear" w:color="auto" w:fill="FFFFFF"/>
          <w:lang w:val="sk-SK"/>
        </w:rPr>
        <w:t xml:space="preserve"> </w:t>
      </w:r>
      <w:r w:rsidRPr="00FF0E47">
        <w:rPr>
          <w:rStyle w:val="docsum-journal-citation"/>
          <w:rFonts w:ascii="Verdana" w:hAnsi="Verdana" w:cs="Segoe UI"/>
          <w:color w:val="auto"/>
          <w:sz w:val="16"/>
          <w:szCs w:val="16"/>
          <w:shd w:val="clear" w:color="auto" w:fill="FFFFFF"/>
          <w:lang w:val="sk-SK"/>
        </w:rPr>
        <w:t>J Dent. 2021;11:103751. doi: 10.1016/j.jdent.2021.103751.</w:t>
      </w:r>
    </w:p>
    <w:p w14:paraId="230A965F" w14:textId="650F7400" w:rsidR="00BA6DE5" w:rsidRPr="00FF0E47" w:rsidRDefault="00BA6DE5" w:rsidP="00397E92">
      <w:pPr>
        <w:pStyle w:val="ListParagraph"/>
        <w:numPr>
          <w:ilvl w:val="0"/>
          <w:numId w:val="3"/>
        </w:numPr>
        <w:spacing w:line="360" w:lineRule="auto"/>
        <w:rPr>
          <w:rStyle w:val="docsum-journal-citation"/>
          <w:rFonts w:ascii="Verdana" w:hAnsi="Verdana" w:cs="Segoe UI"/>
          <w:color w:val="auto"/>
          <w:sz w:val="16"/>
          <w:szCs w:val="16"/>
          <w:shd w:val="clear" w:color="auto" w:fill="FFFFFF"/>
          <w:lang w:val="sk-SK"/>
        </w:rPr>
      </w:pPr>
      <w:r w:rsidRPr="00FF0E47">
        <w:rPr>
          <w:rStyle w:val="docsum-journal-citation"/>
          <w:rFonts w:ascii="Verdana" w:hAnsi="Verdana" w:cs="Segoe UI"/>
          <w:color w:val="auto"/>
          <w:sz w:val="16"/>
          <w:szCs w:val="16"/>
          <w:shd w:val="clear" w:color="auto" w:fill="FFFFFF"/>
          <w:lang w:val="sk-SK"/>
        </w:rPr>
        <w:t>Schwendicke F, Rossi JG, Krois J, Basso M, Peric T, Turkun LS, Miletić I. Cost-effectiveness of glass hybrid versus composite in a multi-country randomized trial.</w:t>
      </w:r>
      <w:r w:rsidR="008B379E" w:rsidRPr="00FF0E47">
        <w:rPr>
          <w:rStyle w:val="docsum-journal-citation"/>
          <w:rFonts w:ascii="Verdana" w:hAnsi="Verdana" w:cs="Segoe UI"/>
          <w:color w:val="auto"/>
          <w:sz w:val="16"/>
          <w:szCs w:val="16"/>
          <w:shd w:val="clear" w:color="auto" w:fill="FFFFFF"/>
          <w:lang w:val="sk-SK"/>
        </w:rPr>
        <w:t xml:space="preserve"> </w:t>
      </w:r>
      <w:r w:rsidRPr="00FF0E47">
        <w:rPr>
          <w:rStyle w:val="docsum-journal-citation"/>
          <w:rFonts w:ascii="Verdana" w:hAnsi="Verdana" w:cs="Segoe UI"/>
          <w:color w:val="auto"/>
          <w:sz w:val="16"/>
          <w:szCs w:val="16"/>
          <w:shd w:val="clear" w:color="auto" w:fill="FFFFFF"/>
          <w:lang w:val="sk-SK"/>
        </w:rPr>
        <w:t>J Dent. 2021;107:103614. doi: 10.1016/j.jdent.2021.103614.</w:t>
      </w:r>
    </w:p>
    <w:p w14:paraId="179DC009" w14:textId="0A93DEC6" w:rsidR="00206A13" w:rsidRPr="00FF0E47" w:rsidRDefault="008B379E" w:rsidP="00397E92">
      <w:pPr>
        <w:pStyle w:val="ListParagraph"/>
        <w:numPr>
          <w:ilvl w:val="0"/>
          <w:numId w:val="3"/>
        </w:numPr>
        <w:spacing w:line="360" w:lineRule="auto"/>
        <w:rPr>
          <w:rFonts w:ascii="Verdana" w:hAnsi="Verdana"/>
          <w:bCs/>
          <w:color w:val="464646"/>
          <w:spacing w:val="5"/>
          <w:kern w:val="28"/>
          <w:sz w:val="22"/>
          <w:szCs w:val="22"/>
          <w:u w:color="464646"/>
          <w:lang w:val="sk-SK"/>
        </w:rPr>
      </w:pPr>
      <w:r w:rsidRPr="00FF0E47">
        <w:rPr>
          <w:rStyle w:val="docsum-journal-citation"/>
          <w:rFonts w:ascii="Verdana" w:hAnsi="Verdana" w:cs="Segoe UI"/>
          <w:color w:val="auto"/>
          <w:sz w:val="16"/>
          <w:szCs w:val="16"/>
          <w:shd w:val="clear" w:color="auto" w:fill="FFFFFF"/>
          <w:lang w:val="sk-SK"/>
        </w:rPr>
        <w:t xml:space="preserve">Restorative Options Decision Tree, Foundation Nakao. </w:t>
      </w:r>
      <w:hyperlink r:id="rId11" w:history="1">
        <w:r w:rsidR="00A11BCD" w:rsidRPr="00FF0E47">
          <w:rPr>
            <w:rStyle w:val="Hyperlink"/>
            <w:rFonts w:ascii="Verdana" w:hAnsi="Verdana"/>
            <w:sz w:val="16"/>
            <w:szCs w:val="16"/>
            <w:lang w:val="sk-SK"/>
          </w:rPr>
          <w:t>zingtree.com/deploy/tree.php?z=embed&amp;tree_id=510390943</w:t>
        </w:r>
      </w:hyperlink>
      <w:r w:rsidR="00A11BCD" w:rsidRPr="00FF0E47">
        <w:rPr>
          <w:lang w:val="sk-SK"/>
        </w:rPr>
        <w:t xml:space="preserve"> </w:t>
      </w:r>
    </w:p>
    <w:p w14:paraId="65D618CF" w14:textId="77777777" w:rsidR="00397E92" w:rsidRPr="00FF0E47" w:rsidRDefault="00397E92" w:rsidP="00397E92">
      <w:pPr>
        <w:pStyle w:val="ListParagraph"/>
        <w:spacing w:line="360" w:lineRule="auto"/>
        <w:ind w:left="360"/>
        <w:rPr>
          <w:rFonts w:ascii="Verdana" w:hAnsi="Verdana"/>
          <w:bCs/>
          <w:color w:val="464646"/>
          <w:spacing w:val="5"/>
          <w:kern w:val="28"/>
          <w:sz w:val="22"/>
          <w:szCs w:val="22"/>
          <w:u w:color="464646"/>
          <w:lang w:val="sk-SK"/>
        </w:rPr>
      </w:pPr>
    </w:p>
    <w:p w14:paraId="3E3C3253" w14:textId="77777777" w:rsidR="00115A49" w:rsidRDefault="00115A49" w:rsidP="00115A49">
      <w:pPr>
        <w:widowControl w:val="0"/>
        <w:ind w:left="108" w:hanging="108"/>
        <w:jc w:val="both"/>
        <w:rPr>
          <w:rFonts w:ascii="Verdana" w:hAnsi="Verdana"/>
          <w:bCs/>
          <w:color w:val="464646"/>
          <w:spacing w:val="5"/>
          <w:kern w:val="28"/>
          <w:sz w:val="22"/>
          <w:szCs w:val="22"/>
          <w:u w:color="464646"/>
          <w:lang w:val="sk-SK"/>
        </w:rPr>
      </w:pPr>
    </w:p>
    <w:p w14:paraId="4E0A041A" w14:textId="77777777" w:rsidR="00115A49" w:rsidRDefault="00115A49" w:rsidP="00115A49">
      <w:pPr>
        <w:widowControl w:val="0"/>
        <w:ind w:left="108" w:hanging="108"/>
        <w:jc w:val="both"/>
        <w:rPr>
          <w:rFonts w:ascii="Verdana" w:hAnsi="Verdana"/>
          <w:bCs/>
          <w:color w:val="464646"/>
          <w:spacing w:val="5"/>
          <w:kern w:val="28"/>
          <w:sz w:val="22"/>
          <w:szCs w:val="22"/>
          <w:u w:color="464646"/>
          <w:lang w:val="sk-SK"/>
        </w:rPr>
      </w:pPr>
    </w:p>
    <w:p w14:paraId="167D24FC" w14:textId="77777777" w:rsidR="00115A49" w:rsidRDefault="00115A49" w:rsidP="00115A49">
      <w:pPr>
        <w:widowControl w:val="0"/>
        <w:ind w:left="108" w:hanging="108"/>
        <w:jc w:val="both"/>
        <w:rPr>
          <w:rFonts w:ascii="Verdana" w:hAnsi="Verdana"/>
          <w:bCs/>
          <w:color w:val="464646"/>
          <w:spacing w:val="5"/>
          <w:kern w:val="28"/>
          <w:sz w:val="22"/>
          <w:szCs w:val="22"/>
          <w:u w:color="464646"/>
          <w:lang w:val="sk-SK"/>
        </w:rPr>
      </w:pPr>
    </w:p>
    <w:p w14:paraId="6163BC8A" w14:textId="77777777" w:rsidR="00115A49" w:rsidRDefault="00115A49" w:rsidP="00115A49">
      <w:pPr>
        <w:widowControl w:val="0"/>
        <w:ind w:left="108" w:hanging="108"/>
        <w:jc w:val="both"/>
        <w:rPr>
          <w:rFonts w:ascii="Verdana" w:hAnsi="Verdana"/>
          <w:bCs/>
          <w:color w:val="464646"/>
          <w:spacing w:val="5"/>
          <w:kern w:val="28"/>
          <w:sz w:val="22"/>
          <w:szCs w:val="22"/>
          <w:u w:color="464646"/>
          <w:lang w:val="sk-SK"/>
        </w:rPr>
      </w:pPr>
    </w:p>
    <w:p w14:paraId="51A0D9CB" w14:textId="77777777" w:rsidR="00115A49" w:rsidRDefault="00115A49" w:rsidP="00115A49">
      <w:pPr>
        <w:widowControl w:val="0"/>
        <w:ind w:left="108" w:hanging="108"/>
        <w:jc w:val="both"/>
        <w:rPr>
          <w:rFonts w:ascii="Verdana" w:hAnsi="Verdana"/>
          <w:bCs/>
          <w:color w:val="464646"/>
          <w:spacing w:val="5"/>
          <w:kern w:val="28"/>
          <w:sz w:val="22"/>
          <w:szCs w:val="22"/>
          <w:u w:color="464646"/>
          <w:lang w:val="sk-SK"/>
        </w:rPr>
      </w:pPr>
    </w:p>
    <w:p w14:paraId="287591AD" w14:textId="77777777" w:rsidR="00115A49" w:rsidRDefault="00115A49" w:rsidP="00115A49">
      <w:pPr>
        <w:widowControl w:val="0"/>
        <w:ind w:left="108" w:hanging="108"/>
        <w:jc w:val="both"/>
        <w:rPr>
          <w:rFonts w:ascii="Verdana" w:hAnsi="Verdana"/>
          <w:bCs/>
          <w:color w:val="464646"/>
          <w:spacing w:val="5"/>
          <w:kern w:val="28"/>
          <w:sz w:val="22"/>
          <w:szCs w:val="22"/>
          <w:u w:color="464646"/>
          <w:lang w:val="sk-SK"/>
        </w:rPr>
      </w:pPr>
    </w:p>
    <w:p w14:paraId="7930B647" w14:textId="77777777" w:rsidR="00115A49" w:rsidRDefault="00115A49" w:rsidP="00115A49">
      <w:pPr>
        <w:widowControl w:val="0"/>
        <w:ind w:left="108" w:hanging="108"/>
        <w:jc w:val="both"/>
        <w:rPr>
          <w:rFonts w:ascii="Verdana" w:hAnsi="Verdana"/>
          <w:bCs/>
          <w:color w:val="464646"/>
          <w:spacing w:val="5"/>
          <w:kern w:val="28"/>
          <w:sz w:val="22"/>
          <w:szCs w:val="22"/>
          <w:u w:color="464646"/>
          <w:lang w:val="sk-SK"/>
        </w:rPr>
      </w:pPr>
    </w:p>
    <w:p w14:paraId="61539E5C" w14:textId="41627509" w:rsidR="00115A49" w:rsidRPr="00115A49" w:rsidRDefault="00115A49" w:rsidP="00115A49">
      <w:pPr>
        <w:widowControl w:val="0"/>
        <w:ind w:left="108" w:hanging="108"/>
        <w:jc w:val="both"/>
        <w:rPr>
          <w:rFonts w:ascii="Verdana" w:hAnsi="Verdana"/>
          <w:bCs/>
          <w:color w:val="464646"/>
          <w:spacing w:val="5"/>
          <w:kern w:val="28"/>
          <w:sz w:val="22"/>
          <w:szCs w:val="22"/>
          <w:u w:color="464646"/>
          <w:lang w:val="sk-SK"/>
        </w:rPr>
      </w:pPr>
      <w:bookmarkStart w:id="0" w:name="_GoBack"/>
      <w:bookmarkEnd w:id="0"/>
      <w:r w:rsidRPr="00115A49">
        <w:rPr>
          <w:rFonts w:ascii="Verdana" w:hAnsi="Verdana"/>
          <w:bCs/>
          <w:color w:val="464646"/>
          <w:spacing w:val="5"/>
          <w:kern w:val="28"/>
          <w:sz w:val="22"/>
          <w:szCs w:val="22"/>
          <w:u w:color="464646"/>
          <w:lang w:val="sk-SK"/>
        </w:rPr>
        <w:lastRenderedPageBreak/>
        <w:t>GCE EEO - Slovakia</w:t>
      </w:r>
    </w:p>
    <w:p w14:paraId="5FEF1C4B" w14:textId="77777777" w:rsidR="00115A49" w:rsidRPr="00115A49" w:rsidRDefault="00115A49" w:rsidP="00115A49">
      <w:pPr>
        <w:widowControl w:val="0"/>
        <w:ind w:left="108" w:hanging="108"/>
        <w:jc w:val="both"/>
        <w:rPr>
          <w:rFonts w:ascii="Verdana" w:hAnsi="Verdana"/>
          <w:bCs/>
          <w:color w:val="464646"/>
          <w:spacing w:val="5"/>
          <w:kern w:val="28"/>
          <w:sz w:val="22"/>
          <w:szCs w:val="22"/>
          <w:u w:color="464646"/>
          <w:lang w:val="sk-SK"/>
        </w:rPr>
      </w:pPr>
      <w:r w:rsidRPr="00115A49">
        <w:rPr>
          <w:rFonts w:ascii="Verdana" w:hAnsi="Verdana"/>
          <w:bCs/>
          <w:color w:val="464646"/>
          <w:spacing w:val="5"/>
          <w:kern w:val="28"/>
          <w:sz w:val="22"/>
          <w:szCs w:val="22"/>
          <w:u w:color="464646"/>
          <w:lang w:val="sk-SK"/>
        </w:rPr>
        <w:t>Raková 1441</w:t>
      </w:r>
    </w:p>
    <w:p w14:paraId="731D4029" w14:textId="77777777" w:rsidR="00115A49" w:rsidRPr="00115A49" w:rsidRDefault="00115A49" w:rsidP="00115A49">
      <w:pPr>
        <w:widowControl w:val="0"/>
        <w:ind w:left="108" w:hanging="108"/>
        <w:jc w:val="both"/>
        <w:rPr>
          <w:rFonts w:ascii="Verdana" w:hAnsi="Verdana"/>
          <w:bCs/>
          <w:color w:val="464646"/>
          <w:spacing w:val="5"/>
          <w:kern w:val="28"/>
          <w:sz w:val="22"/>
          <w:szCs w:val="22"/>
          <w:u w:color="464646"/>
          <w:lang w:val="sk-SK"/>
        </w:rPr>
      </w:pPr>
      <w:r w:rsidRPr="00115A49">
        <w:rPr>
          <w:rFonts w:ascii="Verdana" w:hAnsi="Verdana"/>
          <w:bCs/>
          <w:color w:val="464646"/>
          <w:spacing w:val="5"/>
          <w:kern w:val="28"/>
          <w:sz w:val="22"/>
          <w:szCs w:val="22"/>
          <w:u w:color="464646"/>
          <w:lang w:val="sk-SK"/>
        </w:rPr>
        <w:t>023 51 Raková / Čadca</w:t>
      </w:r>
    </w:p>
    <w:p w14:paraId="443359B5" w14:textId="77777777" w:rsidR="00115A49" w:rsidRPr="00115A49" w:rsidRDefault="00115A49" w:rsidP="00115A49">
      <w:pPr>
        <w:widowControl w:val="0"/>
        <w:ind w:left="108" w:hanging="108"/>
        <w:jc w:val="both"/>
        <w:rPr>
          <w:rFonts w:ascii="Verdana" w:hAnsi="Verdana"/>
          <w:bCs/>
          <w:color w:val="464646"/>
          <w:spacing w:val="5"/>
          <w:kern w:val="28"/>
          <w:sz w:val="22"/>
          <w:szCs w:val="22"/>
          <w:u w:color="464646"/>
          <w:lang w:val="sk-SK"/>
        </w:rPr>
      </w:pPr>
      <w:r w:rsidRPr="00115A49">
        <w:rPr>
          <w:rFonts w:ascii="Verdana" w:hAnsi="Verdana"/>
          <w:bCs/>
          <w:color w:val="464646"/>
          <w:spacing w:val="5"/>
          <w:kern w:val="28"/>
          <w:sz w:val="22"/>
          <w:szCs w:val="22"/>
          <w:u w:color="464646"/>
          <w:lang w:val="sk-SK"/>
        </w:rPr>
        <w:t>Slovensko</w:t>
      </w:r>
    </w:p>
    <w:p w14:paraId="0105557E" w14:textId="77777777" w:rsidR="00115A49" w:rsidRPr="00115A49" w:rsidRDefault="00115A49" w:rsidP="00115A49">
      <w:pPr>
        <w:widowControl w:val="0"/>
        <w:ind w:left="108" w:hanging="108"/>
        <w:jc w:val="both"/>
        <w:rPr>
          <w:rFonts w:ascii="Verdana" w:hAnsi="Verdana"/>
          <w:bCs/>
          <w:color w:val="464646"/>
          <w:spacing w:val="5"/>
          <w:kern w:val="28"/>
          <w:sz w:val="22"/>
          <w:szCs w:val="22"/>
          <w:u w:color="464646"/>
          <w:lang w:val="sk-SK"/>
        </w:rPr>
      </w:pPr>
    </w:p>
    <w:p w14:paraId="44AD62FE" w14:textId="77777777" w:rsidR="00115A49" w:rsidRPr="00115A49" w:rsidRDefault="00115A49" w:rsidP="00115A49">
      <w:pPr>
        <w:widowControl w:val="0"/>
        <w:ind w:left="108" w:hanging="108"/>
        <w:jc w:val="both"/>
        <w:rPr>
          <w:rFonts w:ascii="Verdana" w:hAnsi="Verdana"/>
          <w:bCs/>
          <w:color w:val="464646"/>
          <w:spacing w:val="5"/>
          <w:kern w:val="28"/>
          <w:sz w:val="22"/>
          <w:szCs w:val="22"/>
          <w:u w:color="464646"/>
          <w:lang w:val="sk-SK"/>
        </w:rPr>
      </w:pPr>
      <w:r w:rsidRPr="00115A49">
        <w:rPr>
          <w:rFonts w:ascii="Verdana" w:hAnsi="Verdana"/>
          <w:bCs/>
          <w:color w:val="464646"/>
          <w:spacing w:val="5"/>
          <w:kern w:val="28"/>
          <w:sz w:val="22"/>
          <w:szCs w:val="22"/>
          <w:u w:color="464646"/>
          <w:lang w:val="sk-SK"/>
        </w:rPr>
        <w:t>+421 911 57 09 99</w:t>
      </w:r>
    </w:p>
    <w:p w14:paraId="4ABB8829" w14:textId="77777777" w:rsidR="00115A49" w:rsidRPr="00115A49" w:rsidRDefault="00115A49" w:rsidP="00115A49">
      <w:pPr>
        <w:widowControl w:val="0"/>
        <w:ind w:left="108" w:hanging="108"/>
        <w:jc w:val="both"/>
        <w:rPr>
          <w:rFonts w:ascii="Verdana" w:hAnsi="Verdana"/>
          <w:bCs/>
          <w:color w:val="464646"/>
          <w:spacing w:val="5"/>
          <w:kern w:val="28"/>
          <w:sz w:val="22"/>
          <w:szCs w:val="22"/>
          <w:u w:color="464646"/>
          <w:lang w:val="sk-SK"/>
        </w:rPr>
      </w:pPr>
      <w:r w:rsidRPr="00115A49">
        <w:rPr>
          <w:rFonts w:ascii="Verdana" w:hAnsi="Verdana"/>
          <w:bCs/>
          <w:color w:val="464646"/>
          <w:spacing w:val="5"/>
          <w:kern w:val="28"/>
          <w:sz w:val="22"/>
          <w:szCs w:val="22"/>
          <w:u w:color="464646"/>
          <w:lang w:val="sk-SK"/>
        </w:rPr>
        <w:t>+421 414 00 02 64</w:t>
      </w:r>
    </w:p>
    <w:p w14:paraId="176362B1" w14:textId="77777777" w:rsidR="00115A49" w:rsidRPr="00115A49" w:rsidRDefault="00115A49" w:rsidP="00115A49">
      <w:pPr>
        <w:widowControl w:val="0"/>
        <w:ind w:left="108" w:hanging="108"/>
        <w:jc w:val="both"/>
        <w:rPr>
          <w:rFonts w:ascii="Verdana" w:hAnsi="Verdana"/>
          <w:bCs/>
          <w:color w:val="464646"/>
          <w:spacing w:val="5"/>
          <w:kern w:val="28"/>
          <w:sz w:val="22"/>
          <w:szCs w:val="22"/>
          <w:u w:color="464646"/>
          <w:lang w:val="sk-SK"/>
        </w:rPr>
      </w:pPr>
      <w:r w:rsidRPr="00115A49">
        <w:rPr>
          <w:rFonts w:ascii="Verdana" w:hAnsi="Verdana"/>
          <w:bCs/>
          <w:color w:val="464646"/>
          <w:spacing w:val="5"/>
          <w:kern w:val="28"/>
          <w:sz w:val="22"/>
          <w:szCs w:val="22"/>
          <w:u w:color="464646"/>
          <w:lang w:val="sk-SK"/>
        </w:rPr>
        <w:t>info.slovakia@gc.dental</w:t>
      </w:r>
    </w:p>
    <w:p w14:paraId="70407860" w14:textId="5ACDD2F3" w:rsidR="004C48D0" w:rsidRPr="00FF0E47" w:rsidRDefault="00115A49" w:rsidP="00115A49">
      <w:pPr>
        <w:widowControl w:val="0"/>
        <w:ind w:left="108" w:hanging="108"/>
        <w:jc w:val="both"/>
        <w:rPr>
          <w:rFonts w:ascii="Verdana" w:hAnsi="Verdana"/>
          <w:lang w:val="sk-SK"/>
        </w:rPr>
      </w:pPr>
      <w:r w:rsidRPr="00115A49">
        <w:rPr>
          <w:rFonts w:ascii="Verdana" w:hAnsi="Verdana"/>
          <w:bCs/>
          <w:color w:val="464646"/>
          <w:spacing w:val="5"/>
          <w:kern w:val="28"/>
          <w:sz w:val="22"/>
          <w:szCs w:val="22"/>
          <w:u w:color="464646"/>
          <w:lang w:val="sk-SK"/>
        </w:rPr>
        <w:t>slovakia.gceurope.com</w:t>
      </w:r>
    </w:p>
    <w:p w14:paraId="4489D452" w14:textId="0AE50340" w:rsidR="00BB5D11" w:rsidRPr="00FF0E47" w:rsidRDefault="00BB5D11">
      <w:pPr>
        <w:widowControl w:val="0"/>
        <w:ind w:left="108" w:hanging="108"/>
        <w:jc w:val="both"/>
        <w:rPr>
          <w:rFonts w:ascii="Verdana" w:hAnsi="Verdana"/>
          <w:lang w:val="sk-SK"/>
        </w:rPr>
      </w:pPr>
    </w:p>
    <w:sectPr w:rsidR="00BB5D11" w:rsidRPr="00FF0E47">
      <w:headerReference w:type="default" r:id="rId12"/>
      <w:pgSz w:w="11900" w:h="16840"/>
      <w:pgMar w:top="1826" w:right="1985" w:bottom="1792" w:left="2053" w:header="709" w:footer="47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7B2D1E" w16cex:dateUtc="2023-08-07T06: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5C54F" w14:textId="77777777" w:rsidR="001147D2" w:rsidRDefault="001147D2">
      <w:r>
        <w:separator/>
      </w:r>
    </w:p>
  </w:endnote>
  <w:endnote w:type="continuationSeparator" w:id="0">
    <w:p w14:paraId="664CD530" w14:textId="77777777" w:rsidR="001147D2" w:rsidRDefault="0011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D3B31" w14:textId="77777777" w:rsidR="001147D2" w:rsidRDefault="001147D2">
      <w:r>
        <w:separator/>
      </w:r>
    </w:p>
  </w:footnote>
  <w:footnote w:type="continuationSeparator" w:id="0">
    <w:p w14:paraId="7D924A59" w14:textId="77777777" w:rsidR="001147D2" w:rsidRDefault="00114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cex="http://schemas.microsoft.com/office/word/2018/wordml/cex" xmlns:w16="http://schemas.microsoft.com/office/word/2018/wordml" xmlns:oel="http://schemas.microsoft.com/office/2019/extlst" xmlns:w16du="http://schemas.microsoft.com/office/word/2023/wordml/word16du" xmlns:w16sdtdh="http://schemas.microsoft.com/office/word/2020/wordml/sdtdatahash">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DFE"/>
    <w:multiLevelType w:val="hybridMultilevel"/>
    <w:tmpl w:val="11CE5F94"/>
    <w:lvl w:ilvl="0" w:tplc="A274B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E6449"/>
    <w:multiLevelType w:val="hybridMultilevel"/>
    <w:tmpl w:val="189EC530"/>
    <w:lvl w:ilvl="0" w:tplc="EC90D6C8">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BB0F47"/>
    <w:multiLevelType w:val="hybridMultilevel"/>
    <w:tmpl w:val="A7BA3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64DE"/>
    <w:rsid w:val="0001042E"/>
    <w:rsid w:val="000207F2"/>
    <w:rsid w:val="00022CFD"/>
    <w:rsid w:val="00027540"/>
    <w:rsid w:val="00042D9E"/>
    <w:rsid w:val="00045DA8"/>
    <w:rsid w:val="000578B1"/>
    <w:rsid w:val="000715D6"/>
    <w:rsid w:val="000800FA"/>
    <w:rsid w:val="000861F8"/>
    <w:rsid w:val="000A485C"/>
    <w:rsid w:val="000A7D73"/>
    <w:rsid w:val="000C3B2B"/>
    <w:rsid w:val="000E4999"/>
    <w:rsid w:val="00106786"/>
    <w:rsid w:val="00107638"/>
    <w:rsid w:val="00112618"/>
    <w:rsid w:val="001147D2"/>
    <w:rsid w:val="00115A49"/>
    <w:rsid w:val="0016511A"/>
    <w:rsid w:val="00167D45"/>
    <w:rsid w:val="00176AEF"/>
    <w:rsid w:val="001A08D5"/>
    <w:rsid w:val="001B5343"/>
    <w:rsid w:val="001B5373"/>
    <w:rsid w:val="001C1388"/>
    <w:rsid w:val="001E2384"/>
    <w:rsid w:val="001E3E8C"/>
    <w:rsid w:val="00204E47"/>
    <w:rsid w:val="00206A13"/>
    <w:rsid w:val="00236B8D"/>
    <w:rsid w:val="00247359"/>
    <w:rsid w:val="00270FCD"/>
    <w:rsid w:val="00291EEA"/>
    <w:rsid w:val="002974A2"/>
    <w:rsid w:val="002A4426"/>
    <w:rsid w:val="002C389F"/>
    <w:rsid w:val="003042DF"/>
    <w:rsid w:val="00304537"/>
    <w:rsid w:val="00312F6E"/>
    <w:rsid w:val="00315091"/>
    <w:rsid w:val="00321DE6"/>
    <w:rsid w:val="00325206"/>
    <w:rsid w:val="00327168"/>
    <w:rsid w:val="00377CFB"/>
    <w:rsid w:val="00390C9F"/>
    <w:rsid w:val="00397E92"/>
    <w:rsid w:val="003B1417"/>
    <w:rsid w:val="003B4C34"/>
    <w:rsid w:val="003C645C"/>
    <w:rsid w:val="003D5E25"/>
    <w:rsid w:val="003F0101"/>
    <w:rsid w:val="003F1B6F"/>
    <w:rsid w:val="00412841"/>
    <w:rsid w:val="004413E2"/>
    <w:rsid w:val="00444A98"/>
    <w:rsid w:val="0049147A"/>
    <w:rsid w:val="00492F65"/>
    <w:rsid w:val="00495DD2"/>
    <w:rsid w:val="004A245C"/>
    <w:rsid w:val="004C09B7"/>
    <w:rsid w:val="004C48D0"/>
    <w:rsid w:val="004D0FBF"/>
    <w:rsid w:val="004D3B6C"/>
    <w:rsid w:val="00502C6F"/>
    <w:rsid w:val="0052480D"/>
    <w:rsid w:val="00552443"/>
    <w:rsid w:val="00567F3E"/>
    <w:rsid w:val="00572892"/>
    <w:rsid w:val="00587CDE"/>
    <w:rsid w:val="005D1861"/>
    <w:rsid w:val="005E7894"/>
    <w:rsid w:val="005F23AA"/>
    <w:rsid w:val="00610AAC"/>
    <w:rsid w:val="00614BAD"/>
    <w:rsid w:val="00614EC3"/>
    <w:rsid w:val="00616F42"/>
    <w:rsid w:val="0063721E"/>
    <w:rsid w:val="00642020"/>
    <w:rsid w:val="00657BB0"/>
    <w:rsid w:val="0066042E"/>
    <w:rsid w:val="006C68FF"/>
    <w:rsid w:val="0072441C"/>
    <w:rsid w:val="00737C03"/>
    <w:rsid w:val="00775ABD"/>
    <w:rsid w:val="00776B7A"/>
    <w:rsid w:val="00776E54"/>
    <w:rsid w:val="007A7027"/>
    <w:rsid w:val="007D7D19"/>
    <w:rsid w:val="007E0547"/>
    <w:rsid w:val="007E41A8"/>
    <w:rsid w:val="0080482A"/>
    <w:rsid w:val="00807AFC"/>
    <w:rsid w:val="00821D97"/>
    <w:rsid w:val="00831140"/>
    <w:rsid w:val="00831F13"/>
    <w:rsid w:val="00850425"/>
    <w:rsid w:val="008663A4"/>
    <w:rsid w:val="00867C29"/>
    <w:rsid w:val="008753D9"/>
    <w:rsid w:val="00881F99"/>
    <w:rsid w:val="008A56E8"/>
    <w:rsid w:val="008A629E"/>
    <w:rsid w:val="008B379E"/>
    <w:rsid w:val="008F7868"/>
    <w:rsid w:val="00906474"/>
    <w:rsid w:val="00911D35"/>
    <w:rsid w:val="00914C1C"/>
    <w:rsid w:val="00917845"/>
    <w:rsid w:val="00960DB7"/>
    <w:rsid w:val="00977829"/>
    <w:rsid w:val="00981F33"/>
    <w:rsid w:val="00986AA8"/>
    <w:rsid w:val="00997CA1"/>
    <w:rsid w:val="009C1D99"/>
    <w:rsid w:val="00A11BCD"/>
    <w:rsid w:val="00A304BF"/>
    <w:rsid w:val="00A55973"/>
    <w:rsid w:val="00A65A6F"/>
    <w:rsid w:val="00A7156F"/>
    <w:rsid w:val="00A7746D"/>
    <w:rsid w:val="00A844B5"/>
    <w:rsid w:val="00AA5281"/>
    <w:rsid w:val="00AB71D5"/>
    <w:rsid w:val="00AC77C3"/>
    <w:rsid w:val="00AE06AA"/>
    <w:rsid w:val="00B0362E"/>
    <w:rsid w:val="00B04612"/>
    <w:rsid w:val="00B0625B"/>
    <w:rsid w:val="00B113EF"/>
    <w:rsid w:val="00B1164E"/>
    <w:rsid w:val="00B20FF6"/>
    <w:rsid w:val="00B449F7"/>
    <w:rsid w:val="00B80A18"/>
    <w:rsid w:val="00B85591"/>
    <w:rsid w:val="00BA6DE5"/>
    <w:rsid w:val="00BB5D11"/>
    <w:rsid w:val="00BC0204"/>
    <w:rsid w:val="00BD4617"/>
    <w:rsid w:val="00C12E8E"/>
    <w:rsid w:val="00C60B64"/>
    <w:rsid w:val="00CA5DBB"/>
    <w:rsid w:val="00CC6660"/>
    <w:rsid w:val="00D21359"/>
    <w:rsid w:val="00D33936"/>
    <w:rsid w:val="00DB50BD"/>
    <w:rsid w:val="00DC1238"/>
    <w:rsid w:val="00DD4ADD"/>
    <w:rsid w:val="00DF2CF0"/>
    <w:rsid w:val="00DF3946"/>
    <w:rsid w:val="00E00439"/>
    <w:rsid w:val="00E17009"/>
    <w:rsid w:val="00E23C42"/>
    <w:rsid w:val="00E26DFB"/>
    <w:rsid w:val="00E561B3"/>
    <w:rsid w:val="00E60E82"/>
    <w:rsid w:val="00E62906"/>
    <w:rsid w:val="00E675E8"/>
    <w:rsid w:val="00E767CA"/>
    <w:rsid w:val="00E833B6"/>
    <w:rsid w:val="00EA5E86"/>
    <w:rsid w:val="00ED2B9D"/>
    <w:rsid w:val="00ED59B2"/>
    <w:rsid w:val="00F966A1"/>
    <w:rsid w:val="00FB5078"/>
    <w:rsid w:val="00FE6C44"/>
    <w:rsid w:val="00FF0E4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304537"/>
    <w:pPr>
      <w:ind w:left="720"/>
      <w:contextualSpacing/>
    </w:pPr>
  </w:style>
  <w:style w:type="character" w:customStyle="1" w:styleId="docsum-authors">
    <w:name w:val="docsum-authors"/>
    <w:basedOn w:val="DefaultParagraphFont"/>
    <w:rsid w:val="00BC0204"/>
  </w:style>
  <w:style w:type="character" w:customStyle="1" w:styleId="docsum-journal-citation">
    <w:name w:val="docsum-journal-citation"/>
    <w:basedOn w:val="DefaultParagraphFont"/>
    <w:rsid w:val="00BC0204"/>
  </w:style>
  <w:style w:type="character" w:styleId="FollowedHyperlink">
    <w:name w:val="FollowedHyperlink"/>
    <w:basedOn w:val="DefaultParagraphFont"/>
    <w:uiPriority w:val="99"/>
    <w:semiHidden/>
    <w:unhideWhenUsed/>
    <w:rsid w:val="00E1700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09609186">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1017387818">
      <w:bodyDiv w:val="1"/>
      <w:marLeft w:val="0"/>
      <w:marRight w:val="0"/>
      <w:marTop w:val="0"/>
      <w:marBottom w:val="0"/>
      <w:divBdr>
        <w:top w:val="none" w:sz="0" w:space="0" w:color="auto"/>
        <w:left w:val="none" w:sz="0" w:space="0" w:color="auto"/>
        <w:bottom w:val="none" w:sz="0" w:space="0" w:color="auto"/>
        <w:right w:val="none" w:sz="0" w:space="0" w:color="auto"/>
      </w:divBdr>
      <w:divsChild>
        <w:div w:id="2144499789">
          <w:marLeft w:val="0"/>
          <w:marRight w:val="0"/>
          <w:marTop w:val="0"/>
          <w:marBottom w:val="0"/>
          <w:divBdr>
            <w:top w:val="none" w:sz="0" w:space="0" w:color="auto"/>
            <w:left w:val="none" w:sz="0" w:space="0" w:color="auto"/>
            <w:bottom w:val="none" w:sz="0" w:space="0" w:color="auto"/>
            <w:right w:val="none" w:sz="0" w:space="0" w:color="auto"/>
          </w:divBdr>
          <w:divsChild>
            <w:div w:id="1921601705">
              <w:marLeft w:val="0"/>
              <w:marRight w:val="0"/>
              <w:marTop w:val="0"/>
              <w:marBottom w:val="0"/>
              <w:divBdr>
                <w:top w:val="none" w:sz="0" w:space="0" w:color="auto"/>
                <w:left w:val="none" w:sz="0" w:space="0" w:color="auto"/>
                <w:bottom w:val="none" w:sz="0" w:space="0" w:color="auto"/>
                <w:right w:val="none" w:sz="0" w:space="0" w:color="auto"/>
              </w:divBdr>
            </w:div>
            <w:div w:id="1897621438">
              <w:marLeft w:val="0"/>
              <w:marRight w:val="0"/>
              <w:marTop w:val="300"/>
              <w:marBottom w:val="0"/>
              <w:divBdr>
                <w:top w:val="none" w:sz="0" w:space="0" w:color="auto"/>
                <w:left w:val="none" w:sz="0" w:space="0" w:color="auto"/>
                <w:bottom w:val="none" w:sz="0" w:space="0" w:color="auto"/>
                <w:right w:val="none" w:sz="0" w:space="0" w:color="auto"/>
              </w:divBdr>
            </w:div>
            <w:div w:id="340086198">
              <w:marLeft w:val="0"/>
              <w:marRight w:val="0"/>
              <w:marTop w:val="0"/>
              <w:marBottom w:val="0"/>
              <w:divBdr>
                <w:top w:val="none" w:sz="0" w:space="0" w:color="auto"/>
                <w:left w:val="none" w:sz="0" w:space="0" w:color="auto"/>
                <w:bottom w:val="none" w:sz="0" w:space="0" w:color="auto"/>
                <w:right w:val="none" w:sz="0" w:space="0" w:color="auto"/>
              </w:divBdr>
            </w:div>
            <w:div w:id="1384522439">
              <w:marLeft w:val="0"/>
              <w:marRight w:val="0"/>
              <w:marTop w:val="300"/>
              <w:marBottom w:val="0"/>
              <w:divBdr>
                <w:top w:val="none" w:sz="0" w:space="0" w:color="auto"/>
                <w:left w:val="none" w:sz="0" w:space="0" w:color="auto"/>
                <w:bottom w:val="none" w:sz="0" w:space="0" w:color="auto"/>
                <w:right w:val="none" w:sz="0" w:space="0" w:color="auto"/>
              </w:divBdr>
            </w:div>
            <w:div w:id="10610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17170">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226062798">
      <w:bodyDiv w:val="1"/>
      <w:marLeft w:val="0"/>
      <w:marRight w:val="0"/>
      <w:marTop w:val="0"/>
      <w:marBottom w:val="0"/>
      <w:divBdr>
        <w:top w:val="none" w:sz="0" w:space="0" w:color="auto"/>
        <w:left w:val="none" w:sz="0" w:space="0" w:color="auto"/>
        <w:bottom w:val="none" w:sz="0" w:space="0" w:color="auto"/>
        <w:right w:val="none" w:sz="0" w:space="0" w:color="auto"/>
      </w:divBdr>
      <w:divsChild>
        <w:div w:id="14857059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aigns-gceurope.com/amalgam-alternati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ingtree.com/deploy/tree.php?z=embed&amp;tree_id=510390943" TargetMode="External"/><Relationship Id="rId5" Type="http://schemas.openxmlformats.org/officeDocument/2006/relationships/webSettings" Target="webSettings.xml"/><Relationship Id="rId10" Type="http://schemas.openxmlformats.org/officeDocument/2006/relationships/hyperlink" Target="https://eur-lex.europa.eu/legal-content/EN/TXT/HTML/?uri=CELEX:52023PC0395"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environment.ec.europa.eu/publications/proposal-revision-mercury-regulation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369CB-5ABA-410C-BA3D-3CE60B27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3556</Characters>
  <Application>Microsoft Office Word</Application>
  <DocSecurity>0</DocSecurity>
  <Lines>29</Lines>
  <Paragraphs>8</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9</cp:revision>
  <cp:lastPrinted>2020-01-21T15:04:00Z</cp:lastPrinted>
  <dcterms:created xsi:type="dcterms:W3CDTF">2023-07-28T11:43:00Z</dcterms:created>
  <dcterms:modified xsi:type="dcterms:W3CDTF">2023-09-14T13:00:00Z</dcterms:modified>
</cp:coreProperties>
</file>