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D8690B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</w:rPr>
      </w:pPr>
      <w:r w:rsidRPr="00D8690B"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D8690B">
        <w:rPr>
          <w:rFonts w:ascii="Avenir Next LT Pro" w:hAnsi="Avenir Next LT Pro"/>
          <w:b/>
          <w:bCs/>
          <w:color w:val="404040"/>
          <w:sz w:val="30"/>
          <w:szCs w:val="30"/>
        </w:rPr>
        <w:t>Press release</w:t>
      </w:r>
    </w:p>
    <w:p w14:paraId="0C69B5D1" w14:textId="77777777" w:rsidR="00270FCD" w:rsidRPr="00D8690B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</w:rPr>
      </w:pPr>
    </w:p>
    <w:p w14:paraId="7F019C91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 xml:space="preserve">A five-year multicenter clinical study confirms EQUIA Forte is a suitable material for medium to large Class II restorations. </w:t>
      </w:r>
    </w:p>
    <w:p w14:paraId="7BE06620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 xml:space="preserve"> </w:t>
      </w:r>
    </w:p>
    <w:p w14:paraId="6ABAD8C7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>This long-term randomized trial compares the clinical performance of a glass hybrid restorative system, EQUIA Forte, with a gold-standard nanohybrid composite (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Tetric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EvoCeram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Ivoclar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Vivadent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) in medium to large Class II restorations.  </w:t>
      </w:r>
    </w:p>
    <w:p w14:paraId="1D1B2D93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36B02DBB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 xml:space="preserve">The study was led by Prof. Ivana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Miletic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, who worked with a distinguished team of renowned professors from four different European Universities: Anja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Baraba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and Silvana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Jukic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Krmek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(Zagreb University), Matteo Basso (Milan University), Tamara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Peric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and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Dejan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Markovic (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Belgrade,University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),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Cygdem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Atalayin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Ozkaya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Hande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Kemaloğlu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and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Lezize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Sebnem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Turkun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(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Ege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university).</w:t>
      </w:r>
    </w:p>
    <w:p w14:paraId="1FD723CC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1B84F9D1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>After having successfully followed up 180 patients in 4 different countries, the authors were elated to see the presentation of their study “Five-Year Performance of Glass-Hybrid and Nano-Hybrid Restoratives: Multi-Centre Clinical Trial“ during the CED/NOF - IADR 2023 Congress, that took place in Rhodes, Greece.</w:t>
      </w:r>
    </w:p>
    <w:p w14:paraId="57707CF3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11764EB2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 xml:space="preserve">With an informative and captivating presentation, Prof. Ivana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Miletic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>, from Zagreb University, grabbed the attention of the audience while presenting the findings of this extensive research.</w:t>
      </w:r>
    </w:p>
    <w:p w14:paraId="02B5C308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1207BE82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 xml:space="preserve">The study results revealed the similar clinical performance of Equia Forte and the benchmark nanohybrid composite after 5 years, offering clinicians the flexibility to </w:t>
      </w:r>
      <w:r w:rsidRPr="00D8690B">
        <w:rPr>
          <w:rFonts w:ascii="Avenir Next LT Pro" w:eastAsia="Verdana" w:hAnsi="Avenir Next LT Pro" w:cs="Verdana"/>
          <w:color w:val="404040"/>
        </w:rPr>
        <w:lastRenderedPageBreak/>
        <w:t>choose the most suitable restorative solution for their patients, based on individual needs and circumstances.</w:t>
      </w:r>
    </w:p>
    <w:p w14:paraId="4E244856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60F7E42E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 xml:space="preserve">At the congress prof. Ivana </w:t>
      </w:r>
      <w:proofErr w:type="spellStart"/>
      <w:r w:rsidRPr="00D8690B">
        <w:rPr>
          <w:rFonts w:ascii="Avenir Next LT Pro" w:eastAsia="Verdana" w:hAnsi="Avenir Next LT Pro" w:cs="Verdana"/>
          <w:color w:val="404040"/>
        </w:rPr>
        <w:t>Miletic</w:t>
      </w:r>
      <w:proofErr w:type="spellEnd"/>
      <w:r w:rsidRPr="00D8690B">
        <w:rPr>
          <w:rFonts w:ascii="Avenir Next LT Pro" w:eastAsia="Verdana" w:hAnsi="Avenir Next LT Pro" w:cs="Verdana"/>
          <w:color w:val="404040"/>
        </w:rPr>
        <w:t xml:space="preserve"> said: “After five years of follow-up, our results demonstrate an excellent long-term success of glass hybrid. I am optimistic about these materials' expanding the restorative options without compromising the treatment outcomes for our patients.”</w:t>
      </w:r>
    </w:p>
    <w:p w14:paraId="20F9A9DB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>The authors are now eagerly awaiting the final publication of this remarkable study as a full manuscript.</w:t>
      </w:r>
    </w:p>
    <w:p w14:paraId="24F5F4AD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442A80DD" w14:textId="4EDCCEEB" w:rsidR="00C2221D" w:rsidRPr="00D8690B" w:rsidRDefault="00D8690B" w:rsidP="00D8690B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</w:rPr>
      </w:pPr>
      <w:r w:rsidRPr="00D8690B">
        <w:rPr>
          <w:rFonts w:ascii="Avenir Next LT Pro" w:eastAsia="Verdana" w:hAnsi="Avenir Next LT Pro" w:cs="Verdana"/>
          <w:color w:val="404040"/>
        </w:rPr>
        <w:t>For more detail visit</w:t>
      </w:r>
      <w:r>
        <w:rPr>
          <w:rFonts w:ascii="Avenir Next LT Pro" w:eastAsia="Verdana" w:hAnsi="Avenir Next LT Pro" w:cs="Verdana"/>
          <w:color w:val="404040"/>
        </w:rPr>
        <w:t xml:space="preserve"> </w:t>
      </w:r>
      <w:r w:rsidRPr="00D8690B">
        <w:rPr>
          <w:rFonts w:ascii="Avenir Next LT Pro" w:eastAsia="Verdana" w:hAnsi="Avenir Next LT Pro" w:cs="Verdana"/>
          <w:color w:val="404040"/>
        </w:rPr>
        <w:t>page 183</w:t>
      </w:r>
      <w:r>
        <w:rPr>
          <w:rFonts w:ascii="Avenir Next LT Pro" w:eastAsia="Verdana" w:hAnsi="Avenir Next LT Pro" w:cs="Verdana"/>
          <w:color w:val="404040"/>
        </w:rPr>
        <w:t xml:space="preserve"> on </w:t>
      </w:r>
      <w:hyperlink r:id="rId7" w:history="1">
        <w:r w:rsidRPr="005F36AD">
          <w:rPr>
            <w:rStyle w:val="Hyperlink"/>
            <w:rFonts w:ascii="Avenir Next LT Pro" w:eastAsia="Verdana" w:hAnsi="Avenir Next LT Pro" w:cs="Verdana"/>
          </w:rPr>
          <w:t>https://ced-iadr2023.com/abstract-book-2/</w:t>
        </w:r>
      </w:hyperlink>
      <w:r>
        <w:rPr>
          <w:rFonts w:ascii="Avenir Next LT Pro" w:eastAsia="Verdana" w:hAnsi="Avenir Next LT Pro" w:cs="Verdana"/>
          <w:color w:val="404040"/>
        </w:rPr>
        <w:t xml:space="preserve"> </w:t>
      </w:r>
    </w:p>
    <w:p w14:paraId="30BB580D" w14:textId="77777777" w:rsidR="00D8690B" w:rsidRPr="00D8690B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34A9CF65" w14:textId="09197572" w:rsidR="00C12E8E" w:rsidRPr="002A1F4F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  <w:bookmarkStart w:id="0" w:name="_GoBack"/>
      <w:bookmarkEnd w:id="0"/>
    </w:p>
    <w:p w14:paraId="71863812" w14:textId="77777777" w:rsidR="00C12E8E" w:rsidRPr="002A1F4F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452202D6" w14:textId="77777777" w:rsidR="00C12E8E" w:rsidRPr="002A1F4F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6EC948AB" w:rsidR="00C12E8E" w:rsidRPr="002A1F4F" w:rsidRDefault="00C12E8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+32.16.74.10.00</w:t>
      </w: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3AF5C46E" w14:textId="408D2A99" w:rsidR="00567F3E" w:rsidRPr="002A1F4F" w:rsidRDefault="00567F3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eastAsia="Verdana" w:hAnsi="Avenir Next LT Pro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https://www.gc.dental/europe</w:t>
      </w:r>
    </w:p>
    <w:p w14:paraId="17B68DE6" w14:textId="48A6327A" w:rsidR="000A485C" w:rsidRDefault="00A20AAB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fr-FR"/>
        </w:rPr>
      </w:pPr>
      <w:hyperlink r:id="rId8" w:history="1">
        <w:r w:rsidR="007D00B3" w:rsidRPr="00AD3965">
          <w:rPr>
            <w:rStyle w:val="Hyperlink"/>
            <w:rFonts w:ascii="Avenir Next LT Pro" w:hAnsi="Avenir Next LT Pro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2AEB49FD" w14:textId="77777777" w:rsidR="00A5023C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fr-FR"/>
        </w:rPr>
      </w:pPr>
    </w:p>
    <w:sectPr w:rsidR="00A5023C" w:rsidSect="00A5023C">
      <w:headerReference w:type="default" r:id="rId9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separator/>
      </w:r>
    </w:p>
  </w:endnote>
  <w:endnote w:type="continuationSeparator" w:id="0">
    <w:p w14:paraId="67786A7B" w14:textId="77777777" w:rsidR="00671E66" w:rsidRDefault="006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separator/>
      </w:r>
    </w:p>
  </w:footnote>
  <w:footnote w:type="continuationSeparator" w:id="0">
    <w:p w14:paraId="30408D03" w14:textId="77777777" w:rsidR="00671E66" w:rsidRDefault="0067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2023-10-12T07:00:00Z</dcterms:created>
  <dcterms:modified xsi:type="dcterms:W3CDTF">2023-10-12T07:00:00Z</dcterms:modified>
</cp:coreProperties>
</file>