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B30E6" w14:textId="338F9FC1" w:rsidR="00A31E36" w:rsidRPr="00024C7B" w:rsidRDefault="00A31E36" w:rsidP="00024C7B">
      <w:pPr>
        <w:pStyle w:val="Default"/>
        <w:jc w:val="right"/>
        <w:rPr>
          <w:rFonts w:ascii="72 Light" w:hAnsi="72 Light" w:cs="72 Light"/>
          <w:b/>
          <w:bCs/>
          <w:sz w:val="23"/>
          <w:szCs w:val="23"/>
          <w:u w:val="single" w:color="000000"/>
          <w:lang w:val="hr-HR"/>
        </w:rPr>
      </w:pPr>
      <w:bookmarkStart w:id="0" w:name="_GoBack"/>
      <w:bookmarkEnd w:id="0"/>
    </w:p>
    <w:p w14:paraId="5B782DDB" w14:textId="40C55D71" w:rsidR="005A5062" w:rsidRPr="00024C7B" w:rsidRDefault="00A361F9" w:rsidP="00024C7B">
      <w:pPr>
        <w:pStyle w:val="Default"/>
        <w:jc w:val="right"/>
        <w:rPr>
          <w:rFonts w:ascii="72 Light" w:eastAsia="Verdana" w:hAnsi="72 Light" w:cs="72 Light"/>
          <w:sz w:val="23"/>
          <w:szCs w:val="23"/>
          <w:u w:color="000000"/>
          <w:lang w:val="hr-HR"/>
        </w:rPr>
      </w:pPr>
      <w:r w:rsidRPr="00024C7B">
        <w:rPr>
          <w:rFonts w:ascii="72 Light" w:hAnsi="72 Light" w:cs="72 Light"/>
          <w:b/>
          <w:bCs/>
          <w:sz w:val="23"/>
          <w:szCs w:val="23"/>
          <w:u w:val="single" w:color="000000"/>
          <w:lang w:val="hr-HR"/>
        </w:rPr>
        <w:t>Pr</w:t>
      </w:r>
      <w:r w:rsidR="003F7D0E" w:rsidRPr="00024C7B">
        <w:rPr>
          <w:rFonts w:ascii="72 Light" w:hAnsi="72 Light" w:cs="72 Light"/>
          <w:b/>
          <w:bCs/>
          <w:sz w:val="23"/>
          <w:szCs w:val="23"/>
          <w:u w:val="single" w:color="000000"/>
          <w:lang w:val="hr-HR"/>
        </w:rPr>
        <w:t>iopćenje za medije</w:t>
      </w:r>
    </w:p>
    <w:p w14:paraId="2C8410EA" w14:textId="77777777" w:rsidR="005A5062" w:rsidRPr="00024C7B" w:rsidRDefault="005A5062" w:rsidP="00024C7B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</w:pPr>
    </w:p>
    <w:p w14:paraId="61899921" w14:textId="77777777" w:rsidR="005A5062" w:rsidRPr="00024C7B" w:rsidRDefault="005A5062" w:rsidP="00024C7B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</w:pPr>
    </w:p>
    <w:p w14:paraId="597A4B17" w14:textId="77777777" w:rsidR="003F7D0E" w:rsidRPr="00024C7B" w:rsidRDefault="003F7D0E" w:rsidP="00024C7B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u w:val="single"/>
          <w:shd w:val="clear" w:color="auto" w:fill="FFFFFF"/>
          <w:lang w:val="hr-HR"/>
        </w:rPr>
      </w:pPr>
      <w:r w:rsidRPr="00024C7B">
        <w:rPr>
          <w:rFonts w:ascii="72 Light" w:eastAsia="Verdana" w:hAnsi="72 Light" w:cs="72 Light"/>
          <w:color w:val="222222"/>
          <w:sz w:val="23"/>
          <w:szCs w:val="23"/>
          <w:u w:val="single"/>
          <w:shd w:val="clear" w:color="auto" w:fill="FFFFFF"/>
          <w:lang w:val="hr-HR"/>
        </w:rPr>
        <w:t>Nova prilika za financiranje istraživanja oralnog zdravlja</w:t>
      </w:r>
    </w:p>
    <w:p w14:paraId="439F9469" w14:textId="77777777" w:rsidR="003F7D0E" w:rsidRPr="00024C7B" w:rsidRDefault="003F7D0E" w:rsidP="00024C7B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</w:pPr>
    </w:p>
    <w:p w14:paraId="5C0D5EED" w14:textId="661D0CB5" w:rsidR="003F7D0E" w:rsidRPr="00024C7B" w:rsidRDefault="003F7D0E" w:rsidP="00024C7B">
      <w:pPr>
        <w:pStyle w:val="Default"/>
        <w:spacing w:line="340" w:lineRule="atLeast"/>
        <w:rPr>
          <w:rFonts w:ascii="72 Light" w:eastAsia="Verdana" w:hAnsi="72 Light" w:cs="72 Light"/>
          <w:b/>
          <w:bCs/>
          <w:color w:val="222222"/>
          <w:sz w:val="28"/>
          <w:szCs w:val="28"/>
          <w:shd w:val="clear" w:color="auto" w:fill="FFFFFF"/>
          <w:lang w:val="hr-HR"/>
        </w:rPr>
      </w:pPr>
      <w:r w:rsidRPr="00024C7B">
        <w:rPr>
          <w:rFonts w:ascii="72 Light" w:eastAsia="Verdana" w:hAnsi="72 Light" w:cs="72 Light"/>
          <w:b/>
          <w:bCs/>
          <w:color w:val="222222"/>
          <w:sz w:val="28"/>
          <w:szCs w:val="28"/>
          <w:shd w:val="clear" w:color="auto" w:fill="FFFFFF"/>
          <w:lang w:val="hr-HR"/>
        </w:rPr>
        <w:t>Foundation Nakao for Worldwide Oral Health pokreće 4. rujna 2023. novi krug prijava za istraživačke stipendije</w:t>
      </w:r>
    </w:p>
    <w:p w14:paraId="07FFA1B0" w14:textId="77777777" w:rsidR="003F7D0E" w:rsidRPr="00024C7B" w:rsidRDefault="003F7D0E" w:rsidP="00024C7B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</w:pPr>
    </w:p>
    <w:p w14:paraId="74EA8C84" w14:textId="053888D0" w:rsidR="003F7D0E" w:rsidRPr="00024C7B" w:rsidRDefault="003F7D0E" w:rsidP="00024C7B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</w:pP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Pozivaju se </w:t>
      </w:r>
      <w:r w:rsidR="00344605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znanstvenici 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i kliničari dentalne medicine na prijavu za 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dodjelu bespovratnih sredstava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Zaklade Nakao od 4. rujna 2023. godine. Ovo je peti krug financiranja koj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e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ova 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prestižna zaklada 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dodjeljuje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od svog 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osnutka 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2018. 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godine. 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Organizacija pod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upire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klinička ispitivanja i istraživanja u 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aktualnim temama,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kao što 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su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minimalna intervencija 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u dentalnoj medicini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i oralno zdravlj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e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starijih osoba.</w:t>
      </w:r>
    </w:p>
    <w:p w14:paraId="651D8AE7" w14:textId="77777777" w:rsidR="003F7D0E" w:rsidRPr="00024C7B" w:rsidRDefault="003F7D0E" w:rsidP="00024C7B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</w:pPr>
    </w:p>
    <w:p w14:paraId="3C4E1530" w14:textId="4A0871C6" w:rsidR="003F7D0E" w:rsidRPr="00024C7B" w:rsidRDefault="00344605" w:rsidP="00024C7B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</w:pP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Odabrane prijave</w:t>
      </w:r>
      <w:r w:rsidR="003F7D0E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dobit će potpuno financirane projekte 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u iznosu </w:t>
      </w:r>
      <w:r w:rsidR="003F7D0E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od 50.000,00 CHF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</w:t>
      </w:r>
      <w:r w:rsidR="003F7D0E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godišnje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,</w:t>
      </w:r>
      <w:r w:rsidR="003F7D0E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uz 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objavu rezultata i postignuća</w:t>
      </w:r>
      <w:r w:rsidR="003F7D0E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svake studije među stručnjacima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dentalne medicine,</w:t>
      </w: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u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industriji dentalne medicine, k</w:t>
      </w:r>
      <w:r w:rsidR="003F7D0E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ao i</w:t>
      </w: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u</w:t>
      </w:r>
      <w:r w:rsidR="003F7D0E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široj javnosti. (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Kroz m</w:t>
      </w:r>
      <w:r w:rsidR="003F7D0E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aksimalno 2 godine i do 100.000 CHF. Ako je proračun projekta veći od 50.000 CHF u dvije godine, 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kandidat</w:t>
      </w:r>
      <w:r w:rsidR="003F7D0E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mora podnijeti prijav</w:t>
      </w: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u</w:t>
      </w:r>
      <w:r w:rsidR="003F7D0E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i za drugu godinu)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.</w:t>
      </w:r>
    </w:p>
    <w:p w14:paraId="24DB74AF" w14:textId="77777777" w:rsidR="005A5062" w:rsidRPr="00024C7B" w:rsidRDefault="005A5062" w:rsidP="00024C7B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</w:pPr>
    </w:p>
    <w:p w14:paraId="255C7ED6" w14:textId="77777777" w:rsidR="00891337" w:rsidRPr="00024C7B" w:rsidRDefault="00891337" w:rsidP="00024C7B">
      <w:pPr>
        <w:pStyle w:val="Default"/>
        <w:spacing w:line="340" w:lineRule="atLeast"/>
        <w:jc w:val="both"/>
        <w:rPr>
          <w:rFonts w:ascii="72 Light" w:eastAsia="Verdana" w:hAnsi="72 Light" w:cs="72 Light"/>
          <w:b/>
          <w:bCs/>
          <w:color w:val="222222"/>
          <w:sz w:val="23"/>
          <w:szCs w:val="23"/>
          <w:shd w:val="clear" w:color="auto" w:fill="FFFFFF"/>
          <w:lang w:val="hr-HR"/>
        </w:rPr>
      </w:pPr>
      <w:r w:rsidRPr="00024C7B">
        <w:rPr>
          <w:rFonts w:ascii="72 Light" w:eastAsia="Verdana" w:hAnsi="72 Light" w:cs="72 Light"/>
          <w:b/>
          <w:bCs/>
          <w:color w:val="222222"/>
          <w:sz w:val="23"/>
          <w:szCs w:val="23"/>
          <w:shd w:val="clear" w:color="auto" w:fill="FFFFFF"/>
          <w:lang w:val="hr-HR"/>
        </w:rPr>
        <w:t>Unapređenje istraživanja oralnog zdravlja</w:t>
      </w:r>
    </w:p>
    <w:p w14:paraId="687A9E3F" w14:textId="762E62FB" w:rsidR="00891337" w:rsidRPr="00024C7B" w:rsidRDefault="00891337" w:rsidP="00024C7B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</w:pP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Četvrti krug prijava za dodjelu bespovratnih sredstava Zaklade održan je u rujnu 2022. 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godine, kada je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šest studija dobilo čast da budu prihvaćene </w:t>
      </w:r>
      <w:r w:rsidR="00344605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iz 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velikog broja prijava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. Kandidati 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su bili iz 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sljedeć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ih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kategorij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a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: vladin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e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organizacij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e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, nevladin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e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organizacij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e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, sveučilišt</w:t>
      </w:r>
      <w:r w:rsidR="00344605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a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, istraživačk</w:t>
      </w:r>
      <w:r w:rsidR="00344605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e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institucij</w:t>
      </w:r>
      <w:r w:rsidR="00344605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e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ili drugo.</w:t>
      </w:r>
    </w:p>
    <w:p w14:paraId="4315D42B" w14:textId="77777777" w:rsidR="00891337" w:rsidRPr="00024C7B" w:rsidRDefault="00891337" w:rsidP="00024C7B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</w:pPr>
    </w:p>
    <w:p w14:paraId="37794412" w14:textId="4B2667F3" w:rsidR="00891337" w:rsidRPr="00024C7B" w:rsidRDefault="00891337" w:rsidP="00024C7B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</w:pP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Zaklada Nakao podupire akademska istraživanja i kliničke studije koje doprinose nje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zinom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temeljnom cilju, a to je poboljšanje oralnog zdravlja i posljedično podizanje kvalitete života 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svih ljudi diljem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svijet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a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. Ključna područja istraživanja oralnog zdravlja</w:t>
      </w:r>
      <w:r w:rsidR="00344605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su područja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koja se bave 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minimalnom intervencijom u dentalnoj medicini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, oralnim zdravljem u 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starijoj populaciji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i pokretom 8020, funkcijom zuba, prevencijom oralne slabosti i dentalnim IQ-om.</w:t>
      </w:r>
    </w:p>
    <w:p w14:paraId="42354732" w14:textId="77777777" w:rsidR="00891337" w:rsidRPr="00024C7B" w:rsidRDefault="00891337" w:rsidP="00024C7B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</w:pPr>
    </w:p>
    <w:p w14:paraId="360FC3A7" w14:textId="2BB077FE" w:rsidR="00891337" w:rsidRPr="00024C7B" w:rsidRDefault="00891337" w:rsidP="00024C7B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</w:pP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“Inspiracija za Zakladu došla je iz teme koja nam je 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izrazito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bliska: utjecaj oralnog zdravlja na kvalitetu života. 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S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uprug i ja vjerujemo 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da dentalna medicina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ima temeljnu ulogu u zdravlju i dugovječnosti ljudi diljem svijeta. Radujemo se što ćemo vidjeti da ovo postaje stvarnost kroz aktivnosti Zaklade,” rekla je Makiko Nakao, predsjednica 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zaklade za poticanje oralnog zdravlja u svijetu, Foundation Nakao for Worldwide Oral Health</w:t>
      </w:r>
      <w:r w:rsidR="00344605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, 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pri njezinom službenom </w:t>
      </w:r>
      <w:r w:rsidR="00344605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osnutku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2018. godine.</w:t>
      </w:r>
    </w:p>
    <w:p w14:paraId="5C597E1A" w14:textId="77777777" w:rsidR="005A5062" w:rsidRPr="00024C7B" w:rsidRDefault="005A5062" w:rsidP="00024C7B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</w:pPr>
    </w:p>
    <w:p w14:paraId="19CF9C79" w14:textId="77777777" w:rsidR="00324861" w:rsidRPr="00024C7B" w:rsidRDefault="00324861" w:rsidP="00024C7B">
      <w:pPr>
        <w:pStyle w:val="Default"/>
        <w:spacing w:line="340" w:lineRule="atLeast"/>
        <w:jc w:val="both"/>
        <w:rPr>
          <w:rFonts w:ascii="72 Light" w:hAnsi="72 Light" w:cs="72 Light"/>
          <w:b/>
          <w:bCs/>
          <w:color w:val="222222"/>
          <w:sz w:val="23"/>
          <w:szCs w:val="23"/>
          <w:shd w:val="clear" w:color="auto" w:fill="FFFFFF"/>
          <w:lang w:val="hr-HR"/>
        </w:rPr>
      </w:pPr>
      <w:r w:rsidRPr="00024C7B">
        <w:rPr>
          <w:rFonts w:ascii="72 Light" w:hAnsi="72 Light" w:cs="72 Light"/>
          <w:b/>
          <w:bCs/>
          <w:color w:val="222222"/>
          <w:sz w:val="23"/>
          <w:szCs w:val="23"/>
          <w:shd w:val="clear" w:color="auto" w:fill="FFFFFF"/>
          <w:lang w:val="hr-HR"/>
        </w:rPr>
        <w:t>O Zakladi Nakao</w:t>
      </w:r>
    </w:p>
    <w:p w14:paraId="4CB28B8C" w14:textId="75DD5DBC" w:rsidR="00324861" w:rsidRPr="00024C7B" w:rsidRDefault="00324861" w:rsidP="00024C7B">
      <w:pPr>
        <w:pStyle w:val="Default"/>
        <w:spacing w:line="340" w:lineRule="atLeast"/>
        <w:jc w:val="both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</w:pP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Foundation Nakao for Worldwide Oral Health osnovana je 21. rujna 2018. u Luzernu, Švicarska. To je zasluga g. Makota Nakaa, bivšeg predsjednika GC Corporation, koji je nakon 42 godine na čelu tvrtke donirao </w:t>
      </w:r>
      <w:r w:rsidR="00024C7B"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vlastite privatne</w:t>
      </w: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dionice</w:t>
      </w:r>
      <w:r w:rsidR="00024C7B"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, </w:t>
      </w: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kako bi podržao ovu plemenitu inicijativu.</w:t>
      </w:r>
    </w:p>
    <w:p w14:paraId="78A05F89" w14:textId="644E1482" w:rsidR="00324861" w:rsidRPr="00024C7B" w:rsidRDefault="00324861" w:rsidP="00024C7B">
      <w:pPr>
        <w:pStyle w:val="Default"/>
        <w:spacing w:line="340" w:lineRule="atLeast"/>
        <w:jc w:val="both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</w:pP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lastRenderedPageBreak/>
        <w:t>Upravni odbor Zaklade Nakao može se pohvaliti timom uglednih doktora dentalne medicine s četiri kontinenta</w:t>
      </w:r>
      <w:r w:rsidR="00344605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- </w:t>
      </w: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Europe, Amerike, Australije i Azije. To su prof</w:t>
      </w:r>
      <w:r w:rsidR="00024C7B"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.</w:t>
      </w: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Reinhart Hickel, prof</w:t>
      </w:r>
      <w:r w:rsidR="00024C7B"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.</w:t>
      </w: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Clark Stanford, prof</w:t>
      </w:r>
      <w:r w:rsidR="00344605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.</w:t>
      </w: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Macro Ferrari, prof</w:t>
      </w:r>
      <w:r w:rsidR="00024C7B"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. </w:t>
      </w: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Eric Reynolds, prof</w:t>
      </w:r>
      <w:r w:rsidR="00024C7B"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. </w:t>
      </w: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Keiichi Sasaki i dr. Kiyotaka Nakao.</w:t>
      </w:r>
    </w:p>
    <w:p w14:paraId="3B7DF744" w14:textId="77777777" w:rsidR="00324861" w:rsidRPr="00024C7B" w:rsidRDefault="00324861" w:rsidP="00024C7B">
      <w:pPr>
        <w:pStyle w:val="Default"/>
        <w:spacing w:line="340" w:lineRule="atLeast"/>
        <w:jc w:val="both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</w:pPr>
    </w:p>
    <w:p w14:paraId="1B82CC28" w14:textId="03FFE07A" w:rsidR="005A5062" w:rsidRPr="00024C7B" w:rsidRDefault="00024C7B" w:rsidP="00024C7B">
      <w:pPr>
        <w:pStyle w:val="Default"/>
        <w:spacing w:line="340" w:lineRule="atLeast"/>
        <w:jc w:val="both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</w:pP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Rok za prijave je</w:t>
      </w:r>
      <w:r w:rsidR="00324861"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do 4. prosinca 2023. </w:t>
      </w: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godine </w:t>
      </w:r>
      <w:r w:rsidR="00324861"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putem obrasca za prijavu na web stranici Zaklade Nakao</w:t>
      </w: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</w:t>
      </w:r>
      <w:hyperlink r:id="rId6" w:history="1">
        <w:r w:rsidR="00A361F9" w:rsidRPr="00024C7B">
          <w:rPr>
            <w:rStyle w:val="Hyperlink0"/>
            <w:rFonts w:ascii="72 Light" w:hAnsi="72 Light" w:cs="72 Light"/>
            <w:sz w:val="23"/>
            <w:szCs w:val="23"/>
            <w:shd w:val="clear" w:color="auto" w:fill="FFFFFF"/>
            <w:lang w:val="hr-HR"/>
          </w:rPr>
          <w:t>https://www.foundation-nakao.com/applications</w:t>
        </w:r>
      </w:hyperlink>
    </w:p>
    <w:p w14:paraId="03DEE9A9" w14:textId="77777777" w:rsidR="005A5062" w:rsidRPr="00024C7B" w:rsidRDefault="005A5062" w:rsidP="00024C7B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</w:pPr>
    </w:p>
    <w:p w14:paraId="19B6A4AE" w14:textId="77777777" w:rsidR="005A5062" w:rsidRPr="00024C7B" w:rsidRDefault="005A5062" w:rsidP="00024C7B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</w:pPr>
    </w:p>
    <w:p w14:paraId="43DE88D8" w14:textId="0266FDAD" w:rsidR="005A5062" w:rsidRPr="00024C7B" w:rsidRDefault="00024C7B" w:rsidP="00024C7B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after="160" w:line="360" w:lineRule="auto"/>
        <w:jc w:val="both"/>
        <w:rPr>
          <w:rFonts w:ascii="72 Light" w:eastAsia="Verdana" w:hAnsi="72 Light" w:cs="72 Light"/>
          <w:sz w:val="23"/>
          <w:szCs w:val="23"/>
          <w:u w:color="000000"/>
          <w:lang w:val="hr-HR"/>
        </w:rPr>
      </w:pPr>
      <w:r w:rsidRPr="00024C7B">
        <w:rPr>
          <w:rStyle w:val="None"/>
          <w:rFonts w:ascii="72 Light" w:hAnsi="72 Light" w:cs="72 Light"/>
          <w:color w:val="404040"/>
          <w:sz w:val="23"/>
          <w:szCs w:val="23"/>
          <w:u w:color="404040"/>
          <w:lang w:val="hr-HR"/>
        </w:rPr>
        <w:t>Reference i više informacija potražite na</w:t>
      </w:r>
      <w:r w:rsidR="00A361F9" w:rsidRPr="00024C7B">
        <w:rPr>
          <w:rStyle w:val="None"/>
          <w:rFonts w:ascii="72 Light" w:hAnsi="72 Light" w:cs="72 Light"/>
          <w:color w:val="404040"/>
          <w:sz w:val="23"/>
          <w:szCs w:val="23"/>
          <w:u w:color="404040"/>
          <w:lang w:val="hr-HR"/>
        </w:rPr>
        <w:t>:</w:t>
      </w:r>
    </w:p>
    <w:p w14:paraId="1596AAF4" w14:textId="77777777" w:rsidR="00A31E36" w:rsidRPr="00024C7B" w:rsidRDefault="00A31E36" w:rsidP="00024C7B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</w:pP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Foundation Nakao for Worldwide Oral Health</w:t>
      </w: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br/>
        <w:t>Fluhmattweg 13</w:t>
      </w: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br/>
        <w:t>6004 Luzern, Switzerland </w:t>
      </w:r>
    </w:p>
    <w:p w14:paraId="20269B0B" w14:textId="3B8C3F6C" w:rsidR="00A31E36" w:rsidRPr="00024C7B" w:rsidRDefault="00024C7B" w:rsidP="00024C7B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</w:pP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Tel</w:t>
      </w:r>
      <w:r w:rsidR="00A31E36"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+ 41.41.203.27.17</w:t>
      </w:r>
    </w:p>
    <w:p w14:paraId="61828E59" w14:textId="5151CEB7" w:rsidR="00A31E36" w:rsidRPr="00024C7B" w:rsidRDefault="00011785" w:rsidP="00024C7B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</w:pPr>
      <w:hyperlink r:id="rId7" w:history="1">
        <w:r w:rsidR="00A31E36" w:rsidRPr="00024C7B">
          <w:rPr>
            <w:rFonts w:ascii="72 Light" w:hAnsi="72 Light" w:cs="72 Light"/>
            <w:color w:val="222222"/>
            <w:sz w:val="23"/>
            <w:szCs w:val="23"/>
            <w:shd w:val="clear" w:color="auto" w:fill="FFFFFF"/>
            <w:lang w:val="hr-HR"/>
          </w:rPr>
          <w:t>www.foundation-nakao.com</w:t>
        </w:r>
      </w:hyperlink>
    </w:p>
    <w:p w14:paraId="615B4801" w14:textId="77777777" w:rsidR="00C50A4D" w:rsidRPr="00024C7B" w:rsidRDefault="00011785" w:rsidP="00024C7B">
      <w:pPr>
        <w:pStyle w:val="Default"/>
        <w:tabs>
          <w:tab w:val="center" w:pos="4819"/>
        </w:tabs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</w:pPr>
      <w:hyperlink r:id="rId8" w:history="1">
        <w:r w:rsidR="00A31E36" w:rsidRPr="00024C7B">
          <w:rPr>
            <w:rFonts w:ascii="72 Light" w:hAnsi="72 Light" w:cs="72 Light"/>
            <w:color w:val="222222"/>
            <w:sz w:val="23"/>
            <w:szCs w:val="23"/>
            <w:shd w:val="clear" w:color="auto" w:fill="FFFFFF"/>
            <w:lang w:val="hr-HR"/>
          </w:rPr>
          <w:t>info@foundation-nakao.com</w:t>
        </w:r>
      </w:hyperlink>
    </w:p>
    <w:p w14:paraId="179C1CDB" w14:textId="28A87348" w:rsidR="005A5062" w:rsidRPr="00024C7B" w:rsidRDefault="00A31E36" w:rsidP="00024C7B">
      <w:pPr>
        <w:pStyle w:val="Default"/>
        <w:tabs>
          <w:tab w:val="center" w:pos="4819"/>
        </w:tabs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</w:pP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ab/>
      </w:r>
    </w:p>
    <w:p w14:paraId="03627BC7" w14:textId="05E626B5" w:rsidR="00A31E36" w:rsidRPr="00024C7B" w:rsidRDefault="00C50A4D" w:rsidP="00024C7B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</w:pPr>
      <w:r w:rsidRPr="00024C7B">
        <w:rPr>
          <w:rFonts w:ascii="72 Light" w:hAnsi="72 Light" w:cs="72 Light"/>
          <w:noProof/>
          <w:color w:val="222222"/>
          <w:sz w:val="23"/>
          <w:szCs w:val="23"/>
          <w:shd w:val="clear" w:color="auto" w:fill="FFFFFF"/>
          <w:lang w:val="hr-HR"/>
        </w:rPr>
        <w:drawing>
          <wp:inline distT="0" distB="0" distL="0" distR="0" wp14:anchorId="03CB5F0F" wp14:editId="2C0A77F3">
            <wp:extent cx="1245075" cy="1104900"/>
            <wp:effectExtent l="0" t="0" r="0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7193C92-48CA-48A8-B4D7-12B38F581E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77193C92-48CA-48A8-B4D7-12B38F581ED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875" cy="1126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7A726" w14:textId="77777777" w:rsidR="00C50A4D" w:rsidRPr="00024C7B" w:rsidRDefault="00C50A4D" w:rsidP="00024C7B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</w:pPr>
    </w:p>
    <w:p w14:paraId="7F3467BA" w14:textId="187C574A" w:rsidR="00A31E36" w:rsidRPr="00024C7B" w:rsidRDefault="00A31E36" w:rsidP="00024C7B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</w:pPr>
    </w:p>
    <w:p w14:paraId="752D6A27" w14:textId="12CC031B" w:rsidR="00A31E36" w:rsidRPr="00024C7B" w:rsidRDefault="00C50A4D" w:rsidP="00024C7B">
      <w:pPr>
        <w:pStyle w:val="Default"/>
        <w:spacing w:line="340" w:lineRule="atLeast"/>
        <w:rPr>
          <w:noProof/>
          <w:lang w:val="hr-HR"/>
        </w:rPr>
      </w:pPr>
      <w:r w:rsidRPr="00024C7B">
        <w:rPr>
          <w:noProof/>
          <w:lang w:val="hr-HR"/>
        </w:rPr>
        <w:drawing>
          <wp:inline distT="0" distB="0" distL="0" distR="0" wp14:anchorId="3EE1829C" wp14:editId="1BBBE850">
            <wp:extent cx="3382077" cy="225425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385" cy="229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C7B">
        <w:rPr>
          <w:lang w:val="hr-HR"/>
        </w:rPr>
        <w:t xml:space="preserve"> </w:t>
      </w:r>
    </w:p>
    <w:p w14:paraId="2D11091E" w14:textId="77777777" w:rsidR="00024C7B" w:rsidRPr="00024C7B" w:rsidRDefault="00024C7B" w:rsidP="00024C7B">
      <w:pPr>
        <w:pStyle w:val="Default"/>
        <w:spacing w:line="340" w:lineRule="atLeast"/>
        <w:jc w:val="both"/>
        <w:rPr>
          <w:rFonts w:ascii="72 Light" w:hAnsi="72 Light" w:cs="72 Light"/>
          <w:color w:val="222222"/>
          <w:sz w:val="16"/>
          <w:szCs w:val="16"/>
          <w:shd w:val="clear" w:color="auto" w:fill="FFFFFF"/>
          <w:lang w:val="hr-HR"/>
        </w:rPr>
      </w:pPr>
      <w:r w:rsidRPr="00024C7B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hr-HR"/>
        </w:rPr>
        <w:t>Gđa</w:t>
      </w:r>
      <w:r w:rsidR="00C50A4D" w:rsidRPr="00024C7B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hr-HR"/>
        </w:rPr>
        <w:t xml:space="preserve"> Makiko Nakao, </w:t>
      </w:r>
      <w:r w:rsidRPr="00024C7B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hr-HR"/>
        </w:rPr>
        <w:t>predsjednica Upravnog odbora Zaklade i g. Makoto Nakao</w:t>
      </w:r>
    </w:p>
    <w:p w14:paraId="311B12E3" w14:textId="01977CB3" w:rsidR="00C50A4D" w:rsidRPr="00024C7B" w:rsidRDefault="00C50A4D" w:rsidP="00024C7B">
      <w:pPr>
        <w:pStyle w:val="Default"/>
        <w:spacing w:line="340" w:lineRule="atLeast"/>
        <w:jc w:val="both"/>
        <w:rPr>
          <w:rFonts w:ascii="72 Light" w:hAnsi="72 Light" w:cs="72 Light"/>
          <w:color w:val="222222"/>
          <w:sz w:val="16"/>
          <w:szCs w:val="16"/>
          <w:shd w:val="clear" w:color="auto" w:fill="FFFFFF"/>
          <w:lang w:val="hr-HR"/>
        </w:rPr>
      </w:pPr>
    </w:p>
    <w:sectPr w:rsidR="00C50A4D" w:rsidRPr="00024C7B">
      <w:head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8C1DD" w14:textId="77777777" w:rsidR="00011785" w:rsidRDefault="00011785">
      <w:r>
        <w:separator/>
      </w:r>
    </w:p>
  </w:endnote>
  <w:endnote w:type="continuationSeparator" w:id="0">
    <w:p w14:paraId="0DC92B9F" w14:textId="77777777" w:rsidR="00011785" w:rsidRDefault="0001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72 Light">
    <w:altName w:val="Calibri"/>
    <w:charset w:val="00"/>
    <w:family w:val="swiss"/>
    <w:pitch w:val="variable"/>
    <w:sig w:usb0="A00002EF" w:usb1="5000205B" w:usb2="00000008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DFB2C" w14:textId="77777777" w:rsidR="00011785" w:rsidRDefault="00011785">
      <w:r>
        <w:separator/>
      </w:r>
    </w:p>
  </w:footnote>
  <w:footnote w:type="continuationSeparator" w:id="0">
    <w:p w14:paraId="49710399" w14:textId="77777777" w:rsidR="00011785" w:rsidRDefault="00011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40EBA" w14:textId="4803AEBD" w:rsidR="005A5062" w:rsidRDefault="00A31E36" w:rsidP="00A31E36">
    <w:pPr>
      <w:jc w:val="right"/>
    </w:pPr>
    <w:r w:rsidRPr="00A31E36">
      <w:rPr>
        <w:noProof/>
      </w:rPr>
      <w:drawing>
        <wp:inline distT="0" distB="0" distL="0" distR="0" wp14:anchorId="50536B44" wp14:editId="036423D3">
          <wp:extent cx="915934" cy="466725"/>
          <wp:effectExtent l="0" t="0" r="0" b="0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7209B8BE-1137-4BA5-9666-BE02D06B3B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7209B8BE-1137-4BA5-9666-BE02D06B3B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579"/>
                  <a:stretch/>
                </pic:blipFill>
                <pic:spPr>
                  <a:xfrm>
                    <a:off x="0" y="0"/>
                    <a:ext cx="928004" cy="472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062"/>
    <w:rsid w:val="00011785"/>
    <w:rsid w:val="00024C7B"/>
    <w:rsid w:val="00123D87"/>
    <w:rsid w:val="002E3629"/>
    <w:rsid w:val="00324861"/>
    <w:rsid w:val="00344605"/>
    <w:rsid w:val="00396A16"/>
    <w:rsid w:val="003F7D0E"/>
    <w:rsid w:val="00420A86"/>
    <w:rsid w:val="00455B85"/>
    <w:rsid w:val="004E1548"/>
    <w:rsid w:val="004F1A25"/>
    <w:rsid w:val="00505C9F"/>
    <w:rsid w:val="0056064C"/>
    <w:rsid w:val="00577B5D"/>
    <w:rsid w:val="005A5062"/>
    <w:rsid w:val="005E3AF0"/>
    <w:rsid w:val="007F39DA"/>
    <w:rsid w:val="0087324D"/>
    <w:rsid w:val="00891337"/>
    <w:rsid w:val="0089612B"/>
    <w:rsid w:val="008E45B9"/>
    <w:rsid w:val="0092796A"/>
    <w:rsid w:val="00A31E36"/>
    <w:rsid w:val="00A361F9"/>
    <w:rsid w:val="00A44226"/>
    <w:rsid w:val="00B55703"/>
    <w:rsid w:val="00C50A4D"/>
    <w:rsid w:val="00D13630"/>
    <w:rsid w:val="00D22B5C"/>
    <w:rsid w:val="00EE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C0F84"/>
  <w15:docId w15:val="{3E654168-B1DD-412D-B6CB-1EF24CF4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CH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1155CC"/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  <w:style w:type="character" w:customStyle="1" w:styleId="Hyperlink1">
    <w:name w:val="Hyperlink.1"/>
    <w:basedOn w:val="None"/>
    <w:rPr>
      <w:color w:val="0000FF"/>
      <w:spacing w:val="0"/>
      <w:kern w:val="2"/>
      <w:u w:val="single" w:color="0000FF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A31E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1E3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E3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1E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E3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oundation-nakao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oundation-nakao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undation-nakao.com/applications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Kuehne, Oliver</dc:creator>
  <cp:lastModifiedBy>Petković Božić, Maksina</cp:lastModifiedBy>
  <cp:revision>2</cp:revision>
  <dcterms:created xsi:type="dcterms:W3CDTF">2023-10-04T08:28:00Z</dcterms:created>
  <dcterms:modified xsi:type="dcterms:W3CDTF">2023-10-04T08:28:00Z</dcterms:modified>
</cp:coreProperties>
</file>