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E8240E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sk-SK"/>
        </w:rPr>
      </w:pPr>
      <w:r w:rsidRPr="00E8240E">
        <w:rPr>
          <w:rFonts w:ascii="Avenir Next LT Pro" w:hAnsi="Avenir Next LT Pro"/>
          <w:b/>
          <w:bCs/>
          <w:noProof/>
          <w:color w:val="404040"/>
          <w:sz w:val="30"/>
          <w:szCs w:val="30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E8240E">
        <w:rPr>
          <w:rFonts w:ascii="Avenir Next LT Pro" w:hAnsi="Avenir Next LT Pro"/>
          <w:b/>
          <w:bCs/>
          <w:color w:val="404040"/>
          <w:sz w:val="30"/>
          <w:szCs w:val="30"/>
          <w:lang w:val="sk-SK"/>
        </w:rPr>
        <w:t>Press release</w:t>
      </w:r>
    </w:p>
    <w:p w14:paraId="4C94289A" w14:textId="4948B61A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t>Päťročná multicentrická klinická štúdia potvrdzuje, že EQUIA Forte je vhodný materiál pre stredné až veľké výplne</w:t>
      </w:r>
      <w:r>
        <w:rPr>
          <w:rFonts w:ascii="Avenir Next LT Pro" w:eastAsia="Verdana" w:hAnsi="Avenir Next LT Pro" w:cs="Verdana"/>
          <w:color w:val="404040"/>
          <w:lang w:val="sk-SK"/>
        </w:rPr>
        <w:t xml:space="preserve"> II.</w:t>
      </w:r>
      <w:r w:rsidRPr="00E8240E">
        <w:rPr>
          <w:rFonts w:ascii="Avenir Next LT Pro" w:eastAsia="Verdana" w:hAnsi="Avenir Next LT Pro" w:cs="Verdana"/>
          <w:color w:val="404040"/>
          <w:lang w:val="sk-SK"/>
        </w:rPr>
        <w:t xml:space="preserve"> triedy.</w:t>
      </w:r>
    </w:p>
    <w:p w14:paraId="6AE67B7A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t xml:space="preserve"> </w:t>
      </w:r>
    </w:p>
    <w:p w14:paraId="271BE7DD" w14:textId="250420A0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t>Táto dlhodobá randomizovaná štúdia porovnáva klinickú výkonnosť skl</w:t>
      </w:r>
      <w:r>
        <w:rPr>
          <w:rFonts w:ascii="Avenir Next LT Pro" w:eastAsia="Verdana" w:hAnsi="Avenir Next LT Pro" w:cs="Verdana"/>
          <w:color w:val="404040"/>
          <w:lang w:val="sk-SK"/>
        </w:rPr>
        <w:t>o</w:t>
      </w:r>
      <w:r w:rsidRPr="00E8240E">
        <w:rPr>
          <w:rFonts w:ascii="Avenir Next LT Pro" w:eastAsia="Verdana" w:hAnsi="Avenir Next LT Pro" w:cs="Verdana"/>
          <w:color w:val="404040"/>
          <w:lang w:val="sk-SK"/>
        </w:rPr>
        <w:t xml:space="preserve"> hybridného výplňového systému EQUIA Forte s nanohybridným kompozitom zlatého štandardu (Tetric EvoCeram, Ivoclar Vivadent) v stredných až veľkých výplniach </w:t>
      </w:r>
      <w:r>
        <w:rPr>
          <w:rFonts w:ascii="Avenir Next LT Pro" w:eastAsia="Verdana" w:hAnsi="Avenir Next LT Pro" w:cs="Verdana"/>
          <w:color w:val="404040"/>
          <w:lang w:val="sk-SK"/>
        </w:rPr>
        <w:t xml:space="preserve">II. </w:t>
      </w:r>
      <w:r w:rsidRPr="00E8240E">
        <w:rPr>
          <w:rFonts w:ascii="Avenir Next LT Pro" w:eastAsia="Verdana" w:hAnsi="Avenir Next LT Pro" w:cs="Verdana"/>
          <w:color w:val="404040"/>
          <w:lang w:val="sk-SK"/>
        </w:rPr>
        <w:t>triedy.</w:t>
      </w:r>
    </w:p>
    <w:p w14:paraId="749ADC87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</w:p>
    <w:p w14:paraId="740B1FAD" w14:textId="74FE0422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t xml:space="preserve">Štúdiu viedla prof. Ivana Miletic, ktorá spolupracovala s uznávaným tímom renomovaných profesorov zo štyroch rôznych európskych univerzít: Anja Baraba a Silvana Jukic Krmek (Univerzita v Záhrebe), Matteo Basso (Univerzita v Miláne), Tamara Peric a Dejan Markovic (Univerzita </w:t>
      </w:r>
      <w:r>
        <w:rPr>
          <w:rFonts w:ascii="Avenir Next LT Pro" w:eastAsia="Verdana" w:hAnsi="Avenir Next LT Pro" w:cs="Verdana"/>
          <w:color w:val="404040"/>
          <w:lang w:val="sk-SK"/>
        </w:rPr>
        <w:t xml:space="preserve">v </w:t>
      </w:r>
      <w:r w:rsidRPr="00E8240E">
        <w:rPr>
          <w:rFonts w:ascii="Avenir Next LT Pro" w:eastAsia="Verdana" w:hAnsi="Avenir Next LT Pro" w:cs="Verdana"/>
          <w:color w:val="404040"/>
          <w:lang w:val="sk-SK"/>
        </w:rPr>
        <w:t>Belehrad</w:t>
      </w:r>
      <w:r>
        <w:rPr>
          <w:rFonts w:ascii="Avenir Next LT Pro" w:eastAsia="Verdana" w:hAnsi="Avenir Next LT Pro" w:cs="Verdana"/>
          <w:color w:val="404040"/>
          <w:lang w:val="sk-SK"/>
        </w:rPr>
        <w:t>e</w:t>
      </w:r>
      <w:r w:rsidRPr="00E8240E">
        <w:rPr>
          <w:rFonts w:ascii="Avenir Next LT Pro" w:eastAsia="Verdana" w:hAnsi="Avenir Next LT Pro" w:cs="Verdana"/>
          <w:color w:val="404040"/>
          <w:lang w:val="sk-SK"/>
        </w:rPr>
        <w:t>), Cygdem Atalayin Ozkaya, Hande Kemaloğlu a Lezize Sebnem Turkun (univerzita Ege).</w:t>
      </w:r>
    </w:p>
    <w:p w14:paraId="69CB1AC5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</w:p>
    <w:p w14:paraId="2FCED933" w14:textId="4B0B313C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t>Po úspešnom sledovaní 180 pacientov v 4 rôznych krajinách boli autori nadšení, keď videli prezentáciu svojej štúdie „Päťročný výkon skl</w:t>
      </w:r>
      <w:r>
        <w:rPr>
          <w:rFonts w:ascii="Avenir Next LT Pro" w:eastAsia="Verdana" w:hAnsi="Avenir Next LT Pro" w:cs="Verdana"/>
          <w:color w:val="404040"/>
          <w:lang w:val="sk-SK"/>
        </w:rPr>
        <w:t>o</w:t>
      </w:r>
      <w:r w:rsidRPr="00E8240E">
        <w:rPr>
          <w:rFonts w:ascii="Avenir Next LT Pro" w:eastAsia="Verdana" w:hAnsi="Avenir Next LT Pro" w:cs="Verdana"/>
          <w:color w:val="404040"/>
          <w:lang w:val="sk-SK"/>
        </w:rPr>
        <w:t xml:space="preserve"> hybridných a nano-hybridných výplní: Multicentrická klinická skúška“ počas CED/NOF - Kongres IADR 2023, ktorý sa konal na gréckom Rodose.</w:t>
      </w:r>
    </w:p>
    <w:p w14:paraId="2D6F4701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</w:p>
    <w:p w14:paraId="2103C429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t>Informatívnou a pútavou prezentáciou zaujala pozornosť poslucháčov prof. Ivana Miletic zo Záhrebskej univerzity, ktorá prezentovala výsledky tohto rozsiahleho výskumu.</w:t>
      </w:r>
    </w:p>
    <w:p w14:paraId="288927B9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</w:p>
    <w:p w14:paraId="30C59AFB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t>Výsledky štúdie odhalili podobný klinický výkon Equia Forte a referenčného nanohybridného kompozitu po 5 rokoch, čo lekárom ponúka flexibilitu pri výbere najvhodnejšieho výplňového riešenia pre svojich pacientov na základe individuálnych potrieb a okolností.</w:t>
      </w:r>
    </w:p>
    <w:p w14:paraId="27D7608F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</w:p>
    <w:p w14:paraId="0CA00B78" w14:textId="3BBD53E5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lastRenderedPageBreak/>
        <w:t>Na kongrese prof. Ivana Miletic povedala: „Po piatich rokoch sledovania naše výsledky preukazujú vynikajúci dlhodobý úspech skl</w:t>
      </w:r>
      <w:r>
        <w:rPr>
          <w:rFonts w:ascii="Avenir Next LT Pro" w:eastAsia="Verdana" w:hAnsi="Avenir Next LT Pro" w:cs="Verdana"/>
          <w:color w:val="404040"/>
          <w:lang w:val="sk-SK"/>
        </w:rPr>
        <w:t>o</w:t>
      </w:r>
      <w:r w:rsidRPr="00E8240E">
        <w:rPr>
          <w:rFonts w:ascii="Avenir Next LT Pro" w:eastAsia="Verdana" w:hAnsi="Avenir Next LT Pro" w:cs="Verdana"/>
          <w:color w:val="404040"/>
          <w:lang w:val="sk-SK"/>
        </w:rPr>
        <w:t xml:space="preserve"> hybridu. Som optimistick</w:t>
      </w:r>
      <w:r>
        <w:rPr>
          <w:rFonts w:ascii="Avenir Next LT Pro" w:eastAsia="Verdana" w:hAnsi="Avenir Next LT Pro" w:cs="Verdana"/>
          <w:color w:val="404040"/>
          <w:lang w:val="sk-SK"/>
        </w:rPr>
        <w:t>á</w:t>
      </w:r>
      <w:r w:rsidRPr="00E8240E">
        <w:rPr>
          <w:rFonts w:ascii="Avenir Next LT Pro" w:eastAsia="Verdana" w:hAnsi="Avenir Next LT Pro" w:cs="Verdana"/>
          <w:color w:val="404040"/>
          <w:lang w:val="sk-SK"/>
        </w:rPr>
        <w:t>, pokiaľ ide o rozšírenie možností výplne týmito materiálmi bez toho, aby to ohrozilo výsledky liečby našich pacientov.“</w:t>
      </w:r>
    </w:p>
    <w:p w14:paraId="72E4B2F0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t>Autori teraz netrpezlivo očakávajú konečné vydanie tejto pozoruhodnej štúdie ako úplného rukopisu.</w:t>
      </w:r>
    </w:p>
    <w:p w14:paraId="4AB191CE" w14:textId="77777777" w:rsidR="00E8240E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</w:p>
    <w:p w14:paraId="0C69B5D1" w14:textId="3A9E18A9" w:rsidR="00270FCD" w:rsidRPr="00E8240E" w:rsidRDefault="00E8240E" w:rsidP="00E8240E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sk-SK"/>
        </w:rPr>
      </w:pPr>
      <w:r w:rsidRPr="00E8240E">
        <w:rPr>
          <w:rFonts w:ascii="Avenir Next LT Pro" w:eastAsia="Verdana" w:hAnsi="Avenir Next LT Pro" w:cs="Verdana"/>
          <w:color w:val="404040"/>
          <w:lang w:val="sk-SK"/>
        </w:rPr>
        <w:t xml:space="preserve">Viac podrobností nájdete na strane 183 na </w:t>
      </w:r>
      <w:hyperlink r:id="rId7" w:history="1">
        <w:r w:rsidRPr="00E8240E">
          <w:rPr>
            <w:rStyle w:val="Hyperlink"/>
            <w:rFonts w:ascii="Avenir Next LT Pro" w:eastAsia="Verdana" w:hAnsi="Avenir Next LT Pro" w:cs="Verdana"/>
            <w:lang w:val="sk-SK"/>
          </w:rPr>
          <w:t>https://ced-iadr2023.com/abstract-book-2/</w:t>
        </w:r>
      </w:hyperlink>
    </w:p>
    <w:p w14:paraId="30BB580D" w14:textId="77777777" w:rsidR="00D8690B" w:rsidRPr="00E8240E" w:rsidRDefault="00D8690B" w:rsidP="004E2FB3">
      <w:pPr>
        <w:spacing w:line="360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</w:p>
    <w:p w14:paraId="3E1F51ED" w14:textId="77777777" w:rsidR="00693423" w:rsidRPr="00693423" w:rsidRDefault="00693423" w:rsidP="0069342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bookmarkStart w:id="0" w:name="_GoBack"/>
      <w:r w:rsidRPr="0069342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GCE EEO - Slovakia</w:t>
      </w:r>
    </w:p>
    <w:p w14:paraId="5296D74D" w14:textId="77777777" w:rsidR="00693423" w:rsidRPr="00693423" w:rsidRDefault="00693423" w:rsidP="0069342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9342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Raková 1441</w:t>
      </w:r>
    </w:p>
    <w:p w14:paraId="7FCE7584" w14:textId="77777777" w:rsidR="00693423" w:rsidRPr="00693423" w:rsidRDefault="00693423" w:rsidP="0069342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9342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023 51 Raková / Čadca</w:t>
      </w:r>
    </w:p>
    <w:p w14:paraId="2E7F5346" w14:textId="77777777" w:rsidR="00693423" w:rsidRPr="00693423" w:rsidRDefault="00693423" w:rsidP="0069342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9342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Slovensko</w:t>
      </w:r>
    </w:p>
    <w:p w14:paraId="65AA63E4" w14:textId="77777777" w:rsidR="00693423" w:rsidRPr="00693423" w:rsidRDefault="00693423" w:rsidP="0069342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</w:p>
    <w:p w14:paraId="54C71C43" w14:textId="77777777" w:rsidR="00693423" w:rsidRPr="00693423" w:rsidRDefault="00693423" w:rsidP="0069342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9342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+421 911 57 09 99</w:t>
      </w:r>
    </w:p>
    <w:p w14:paraId="75940889" w14:textId="77777777" w:rsidR="00693423" w:rsidRPr="00693423" w:rsidRDefault="00693423" w:rsidP="0069342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9342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+421 414 00 02 64</w:t>
      </w:r>
    </w:p>
    <w:p w14:paraId="4B185393" w14:textId="77777777" w:rsidR="00693423" w:rsidRPr="00693423" w:rsidRDefault="00693423" w:rsidP="0069342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9342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info.slovakia@gc.dental</w:t>
      </w:r>
    </w:p>
    <w:p w14:paraId="2AEB49FD" w14:textId="7F4B0624" w:rsidR="00A5023C" w:rsidRPr="00E8240E" w:rsidRDefault="00693423" w:rsidP="00693423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sk-SK"/>
        </w:rPr>
      </w:pPr>
      <w:r w:rsidRPr="0069342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slovakia.gceurope.com</w:t>
      </w:r>
      <w:bookmarkEnd w:id="0"/>
    </w:p>
    <w:sectPr w:rsidR="00A5023C" w:rsidRPr="00E8240E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2D1B1" w14:textId="77777777" w:rsidR="00A7041F" w:rsidRDefault="00A7041F">
      <w:r>
        <w:separator/>
      </w:r>
    </w:p>
  </w:endnote>
  <w:endnote w:type="continuationSeparator" w:id="0">
    <w:p w14:paraId="1DACCA06" w14:textId="77777777" w:rsidR="00A7041F" w:rsidRDefault="00A7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F9DC4" w14:textId="77777777" w:rsidR="00A7041F" w:rsidRDefault="00A7041F">
      <w:r>
        <w:separator/>
      </w:r>
    </w:p>
  </w:footnote>
  <w:footnote w:type="continuationSeparator" w:id="0">
    <w:p w14:paraId="61C024FE" w14:textId="77777777" w:rsidR="00A7041F" w:rsidRDefault="00A7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93423"/>
    <w:rsid w:val="006C68FF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041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8690B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240E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16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1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d-iadr2023.com/abstract-book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4</cp:revision>
  <cp:lastPrinted>2020-01-21T15:04:00Z</cp:lastPrinted>
  <dcterms:created xsi:type="dcterms:W3CDTF">2023-10-12T07:00:00Z</dcterms:created>
  <dcterms:modified xsi:type="dcterms:W3CDTF">2023-10-24T11:25:00Z</dcterms:modified>
</cp:coreProperties>
</file>