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B0425DC" w:rsidR="004C48D0" w:rsidRPr="004E2FB3" w:rsidRDefault="004E2FB3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404040"/>
          <w:sz w:val="30"/>
          <w:szCs w:val="30"/>
        </w:rPr>
      </w:pPr>
      <w:r>
        <w:rPr>
          <w:rFonts w:ascii="Avenir Next LT Pro" w:hAnsi="Avenir Next LT Pro"/>
          <w:b/>
          <w:bCs/>
          <w:noProof/>
          <w:color w:val="40404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rect w14:anchorId="1263DC90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4E2FB3">
        <w:rPr>
          <w:rFonts w:ascii="Avenir Next LT Pro" w:hAnsi="Avenir Next LT Pro"/>
          <w:b/>
          <w:bCs/>
          <w:color w:val="404040"/>
          <w:sz w:val="30"/>
          <w:szCs w:val="30"/>
        </w:rPr>
        <w:t>Press release</w:t>
      </w:r>
    </w:p>
    <w:p w14:paraId="0C69B5D1" w14:textId="77777777" w:rsidR="00270FCD" w:rsidRPr="002A1F4F" w:rsidRDefault="00270FCD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</w:rPr>
      </w:pPr>
    </w:p>
    <w:p w14:paraId="44BB3312" w14:textId="7C214774" w:rsidR="004C48D0" w:rsidRPr="002A1F4F" w:rsidRDefault="00D16301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  <w:u w:val="single"/>
        </w:rPr>
      </w:pPr>
      <w:r>
        <w:rPr>
          <w:rFonts w:ascii="Avenir Next LT Pro" w:eastAsia="Verdana" w:hAnsi="Avenir Next LT Pro" w:cs="Verdana"/>
          <w:color w:val="404040"/>
          <w:u w:val="single"/>
        </w:rPr>
        <w:t>Back to your roots!</w:t>
      </w:r>
    </w:p>
    <w:p w14:paraId="4CB4B907" w14:textId="77777777" w:rsidR="00270FCD" w:rsidRPr="002A1F4F" w:rsidRDefault="00270FCD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color w:val="404040"/>
          <w:sz w:val="28"/>
          <w:szCs w:val="28"/>
          <w:u w:color="404040"/>
        </w:rPr>
      </w:pPr>
    </w:p>
    <w:p w14:paraId="48F766E8" w14:textId="3FD362C5" w:rsidR="008A7D3D" w:rsidRPr="004E2FB3" w:rsidRDefault="006822E2" w:rsidP="008A7D3D">
      <w:pPr>
        <w:spacing w:line="360" w:lineRule="auto"/>
        <w:ind w:left="-990" w:right="-868"/>
        <w:rPr>
          <w:rFonts w:ascii="Avenir Next LT Pro" w:hAnsi="Avenir Next LT Pro"/>
          <w:b/>
          <w:bCs/>
          <w:color w:val="404040"/>
          <w:sz w:val="32"/>
          <w:szCs w:val="32"/>
          <w:u w:color="404040"/>
        </w:rPr>
      </w:pPr>
      <w:r>
        <w:rPr>
          <w:rFonts w:ascii="Avenir Next LT Pro" w:hAnsi="Avenir Next LT Pro"/>
          <w:b/>
          <w:bCs/>
          <w:color w:val="404040"/>
          <w:sz w:val="32"/>
          <w:szCs w:val="32"/>
          <w:u w:color="404040"/>
        </w:rPr>
        <w:t>GC raises awareness about the prevention and treatment of root caries</w:t>
      </w:r>
      <w:r w:rsidR="003602A1">
        <w:rPr>
          <w:rFonts w:ascii="Avenir Next LT Pro" w:hAnsi="Avenir Next LT Pro"/>
          <w:b/>
          <w:bCs/>
          <w:color w:val="404040"/>
          <w:sz w:val="32"/>
          <w:szCs w:val="32"/>
          <w:u w:color="404040"/>
        </w:rPr>
        <w:t xml:space="preserve"> in the ageing society</w:t>
      </w:r>
    </w:p>
    <w:p w14:paraId="3FC09059" w14:textId="7E220D26" w:rsidR="00D16301" w:rsidRPr="00BD25AB" w:rsidRDefault="006822E2" w:rsidP="006822E2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</w:pPr>
      <w:r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Root caries</w:t>
      </w:r>
      <w:r w:rsid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 </w:t>
      </w:r>
      <w:r w:rsidR="00BD25AB"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is not a 'new' condition but has been reported as increasing in prevalence due to </w:t>
      </w:r>
      <w:r w:rsid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increased life expectancy</w:t>
      </w:r>
      <w:r w:rsidR="00BD25AB"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 and </w:t>
      </w:r>
      <w:r w:rsid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patients </w:t>
      </w:r>
      <w:r w:rsidR="00BD25AB"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maintaining their natural teeth into old age</w:t>
      </w:r>
      <w:r w:rsid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. </w:t>
      </w:r>
      <w:r w:rsidR="008A7D3D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It poses many challenges, since it’s mostly affecting older adults, who are more likely to have </w:t>
      </w:r>
      <w:r w:rsidR="003602A1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a complex medical history</w:t>
      </w:r>
      <w:r w:rsidR="008A7D3D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 or decreased manual dexterity. With demineralization occurring twice as fast on root surfaces than on enamel, difficulties can be expected.</w:t>
      </w:r>
    </w:p>
    <w:p w14:paraId="596E8DBB" w14:textId="21BC802D" w:rsidR="00D16301" w:rsidRPr="00BD25AB" w:rsidRDefault="008A7D3D" w:rsidP="008A7D3D">
      <w:pPr>
        <w:spacing w:line="360" w:lineRule="auto"/>
        <w:ind w:left="-990"/>
        <w:jc w:val="both"/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</w:pP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Being a Japanese company, GC </w:t>
      </w:r>
      <w:r w:rsidR="003602A1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is very much engaged in providing oral health for the ageing population</w:t>
      </w:r>
      <w:r w:rsidR="00D16301"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. </w:t>
      </w:r>
      <w:r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 </w:t>
      </w:r>
      <w:r w:rsidR="003602A1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Having the oldest population in the world, </w:t>
      </w:r>
      <w:r w:rsidRPr="008A7D3D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Japan is at the forefront of </w:t>
      </w:r>
      <w:r w:rsidR="003602A1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developing strategies to take</w:t>
      </w:r>
      <w:r w:rsidRPr="008A7D3D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 xml:space="preserve"> care of its </w:t>
      </w:r>
      <w:r w:rsidR="003602A1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elderly.</w:t>
      </w:r>
    </w:p>
    <w:p w14:paraId="1E0CE5D2" w14:textId="2B80F523" w:rsidR="00D16301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</w:rPr>
      </w:pP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"We are dedicated to making a positive difference in the field of dentistry," says </w:t>
      </w:r>
      <w:r w:rsidR="006822E2" w:rsidRPr="00BD25AB">
        <w:rPr>
          <w:rFonts w:ascii="Avenir Next LT Pro" w:eastAsia="Verdana" w:hAnsi="Avenir Next LT Pro" w:cs="Verdana"/>
          <w:color w:val="404040"/>
          <w:sz w:val="22"/>
          <w:szCs w:val="22"/>
          <w:u w:color="404040"/>
        </w:rPr>
        <w:t>Laetitia Lavoix, General Manager Marketing at GC Europe</w:t>
      </w: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>. "</w:t>
      </w:r>
      <w:r w:rsidR="00BD25AB" w:rsidRPr="00BD25AB">
        <w:rPr>
          <w:rFonts w:ascii="Avenir Next LT Pro" w:hAnsi="Avenir Next LT Pro"/>
          <w:color w:val="404040"/>
          <w:sz w:val="22"/>
          <w:szCs w:val="22"/>
          <w:u w:color="404040"/>
        </w:rPr>
        <w:t>With this campaign, we want to stress the importance of planning ahead for the patient’s future</w:t>
      </w: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>.</w:t>
      </w:r>
      <w:r w:rsidR="00BD25AB" w:rsidRP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The treatments we’re offering now, should not only serve patients in the short term, but also when they’ve become older, with all the challenges that come along.</w:t>
      </w:r>
      <w:r w:rsid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Therefore, we need to place emphasis on prevention and maintainable treatment.</w:t>
      </w:r>
      <w:r w:rsidR="003602A1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Like in past campaigns</w:t>
      </w:r>
      <w:r w:rsidR="003602A1" w:rsidRPr="003602A1">
        <w:rPr>
          <w:rFonts w:ascii="Avenir Next LT Pro" w:hAnsi="Avenir Next LT Pro"/>
          <w:color w:val="404040"/>
          <w:sz w:val="22"/>
          <w:szCs w:val="22"/>
          <w:u w:color="404040"/>
        </w:rPr>
        <w:t>, we will provide a range of educational materials</w:t>
      </w:r>
      <w:r w:rsidR="003602A1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on this topic</w:t>
      </w:r>
      <w:r w:rsidR="003602A1" w:rsidRPr="003602A1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that have been composed in collaboration with renowned clinicians.</w:t>
      </w:r>
      <w:r w:rsid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” </w:t>
      </w:r>
    </w:p>
    <w:p w14:paraId="6FD96BF9" w14:textId="77777777" w:rsidR="00D16301" w:rsidRPr="00BD25AB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</w:rPr>
      </w:pPr>
    </w:p>
    <w:p w14:paraId="031022A0" w14:textId="230E5F4C" w:rsidR="00D16301" w:rsidRPr="00BD25AB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sz w:val="22"/>
          <w:szCs w:val="22"/>
          <w:u w:color="404040"/>
        </w:rPr>
      </w:pP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To learn more about </w:t>
      </w:r>
      <w:r w:rsidR="006822E2" w:rsidRPr="00BD25AB">
        <w:rPr>
          <w:rFonts w:ascii="Avenir Next LT Pro" w:hAnsi="Avenir Next LT Pro"/>
          <w:color w:val="404040"/>
          <w:sz w:val="22"/>
          <w:szCs w:val="22"/>
          <w:u w:color="404040"/>
        </w:rPr>
        <w:t>GC</w:t>
      </w: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>'s campaign on root caries and our comprehensive range of dental products</w:t>
      </w:r>
      <w:r w:rsidR="006822E2" w:rsidRP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 and informative tools</w:t>
      </w: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 xml:space="preserve">, please visit </w:t>
      </w:r>
      <w:r w:rsidR="00C313BE">
        <w:rPr>
          <w:rFonts w:ascii="Avenir Next LT Pro" w:hAnsi="Avenir Next LT Pro"/>
          <w:color w:val="404040"/>
          <w:sz w:val="22"/>
          <w:szCs w:val="22"/>
          <w:u w:color="404040"/>
        </w:rPr>
        <w:t>h</w:t>
      </w:r>
      <w:bookmarkStart w:id="0" w:name="_GoBack"/>
      <w:bookmarkEnd w:id="0"/>
      <w:r w:rsidR="00C313BE" w:rsidRPr="00C313BE">
        <w:rPr>
          <w:rFonts w:ascii="Avenir Next LT Pro" w:hAnsi="Avenir Next LT Pro"/>
          <w:color w:val="404040"/>
          <w:sz w:val="22"/>
          <w:szCs w:val="22"/>
          <w:u w:color="404040"/>
        </w:rPr>
        <w:t>ttps://www.gc.dental/europe/gccampaign/rootcaries</w:t>
      </w:r>
      <w:r w:rsidRPr="00BD25AB">
        <w:rPr>
          <w:rFonts w:ascii="Avenir Next LT Pro" w:hAnsi="Avenir Next LT Pro"/>
          <w:color w:val="404040"/>
          <w:sz w:val="22"/>
          <w:szCs w:val="22"/>
          <w:u w:color="404040"/>
        </w:rPr>
        <w:t>.</w:t>
      </w:r>
    </w:p>
    <w:p w14:paraId="1D0D0EA5" w14:textId="77777777" w:rsidR="00D16301" w:rsidRPr="00D16301" w:rsidRDefault="00D16301" w:rsidP="006822E2">
      <w:pPr>
        <w:spacing w:line="360" w:lineRule="auto"/>
        <w:ind w:right="-868"/>
        <w:rPr>
          <w:rFonts w:ascii="Avenir Next LT Pro" w:hAnsi="Avenir Next LT Pro"/>
          <w:color w:val="404040"/>
          <w:u w:color="404040"/>
        </w:rPr>
      </w:pPr>
    </w:p>
    <w:p w14:paraId="22C0B5E7" w14:textId="77777777" w:rsidR="00D16301" w:rsidRPr="00D16301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</w:rPr>
      </w:pPr>
    </w:p>
    <w:p w14:paraId="560F24FA" w14:textId="77777777" w:rsidR="00D16301" w:rsidRPr="00D16301" w:rsidRDefault="00D16301" w:rsidP="00D16301">
      <w:pPr>
        <w:spacing w:line="360" w:lineRule="auto"/>
        <w:ind w:left="-990" w:right="-868"/>
        <w:rPr>
          <w:rFonts w:ascii="Avenir Next LT Pro" w:hAnsi="Avenir Next LT Pro"/>
          <w:color w:val="404040"/>
          <w:u w:color="404040"/>
        </w:rPr>
      </w:pPr>
    </w:p>
    <w:p w14:paraId="442A80DD" w14:textId="1E0A5E4B" w:rsidR="00C2221D" w:rsidRPr="00A5023C" w:rsidRDefault="00C2221D" w:rsidP="00D16301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</w:rPr>
      </w:pPr>
    </w:p>
    <w:p w14:paraId="34A9CF65" w14:textId="1A67B52A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 Europe N.V.</w:t>
      </w:r>
    </w:p>
    <w:p w14:paraId="71863812" w14:textId="77777777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Interleuvenlaan</w:t>
      </w:r>
      <w:proofErr w:type="spellEnd"/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33</w:t>
      </w:r>
    </w:p>
    <w:p w14:paraId="452202D6" w14:textId="77777777" w:rsidR="00C12E8E" w:rsidRPr="002A1F4F" w:rsidRDefault="00C12E8E" w:rsidP="004E2FB3">
      <w:pPr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3001 Leuven</w:t>
      </w:r>
    </w:p>
    <w:p w14:paraId="44D3AA60" w14:textId="6EC948AB" w:rsidR="00C12E8E" w:rsidRPr="002A1F4F" w:rsidRDefault="00C12E8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+32.16.74.10.00</w:t>
      </w: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ab/>
      </w:r>
    </w:p>
    <w:p w14:paraId="3AF5C46E" w14:textId="408D2A99" w:rsidR="00567F3E" w:rsidRPr="002A1F4F" w:rsidRDefault="00567F3E" w:rsidP="004E2FB3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ind w:left="-990" w:right="-868"/>
        <w:rPr>
          <w:rFonts w:ascii="Avenir Next LT Pro" w:eastAsia="Verdana" w:hAnsi="Avenir Next LT Pro" w:cs="Verdana"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2A1F4F">
        <w:rPr>
          <w:rFonts w:ascii="Avenir Next LT Pro" w:hAnsi="Avenir Next LT Pro"/>
          <w:color w:val="464646"/>
          <w:spacing w:val="5"/>
          <w:kern w:val="28"/>
          <w:sz w:val="22"/>
          <w:szCs w:val="22"/>
          <w:u w:color="464646"/>
          <w:lang w:val="fr-FR"/>
        </w:rPr>
        <w:t>https://www.gc.dental/europe</w:t>
      </w:r>
    </w:p>
    <w:p w14:paraId="17B68DE6" w14:textId="48A6327A" w:rsidR="000A485C" w:rsidRDefault="00C313BE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  <w:hyperlink r:id="rId7" w:history="1">
        <w:r w:rsidR="007D00B3" w:rsidRPr="00AD3965">
          <w:rPr>
            <w:rStyle w:val="Hyperlink"/>
            <w:rFonts w:ascii="Avenir Next LT Pro" w:hAnsi="Avenir Next LT Pro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p w14:paraId="2AEB49FD" w14:textId="77777777" w:rsidR="00A5023C" w:rsidRDefault="00A5023C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</w:p>
    <w:sectPr w:rsidR="00A5023C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92224" w14:textId="77777777" w:rsidR="00671E66" w:rsidRDefault="00671E66">
      <w:r>
        <w:separator/>
      </w:r>
    </w:p>
  </w:endnote>
  <w:endnote w:type="continuationSeparator" w:id="0">
    <w:p w14:paraId="67786A7B" w14:textId="77777777" w:rsidR="00671E66" w:rsidRDefault="0067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EF363" w14:textId="77777777" w:rsidR="00671E66" w:rsidRDefault="00671E66">
      <w:r>
        <w:separator/>
      </w:r>
    </w:p>
  </w:footnote>
  <w:footnote w:type="continuationSeparator" w:id="0">
    <w:p w14:paraId="30408D03" w14:textId="77777777" w:rsidR="00671E66" w:rsidRDefault="0067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02A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1DAB"/>
    <w:rsid w:val="0049147A"/>
    <w:rsid w:val="00492F65"/>
    <w:rsid w:val="00495DD2"/>
    <w:rsid w:val="004A245C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822E2"/>
    <w:rsid w:val="006C68FF"/>
    <w:rsid w:val="0072441C"/>
    <w:rsid w:val="00737C03"/>
    <w:rsid w:val="00775ABD"/>
    <w:rsid w:val="00776B7A"/>
    <w:rsid w:val="00776E54"/>
    <w:rsid w:val="007D00B3"/>
    <w:rsid w:val="007D0B51"/>
    <w:rsid w:val="007D7D19"/>
    <w:rsid w:val="007E0547"/>
    <w:rsid w:val="007E41A8"/>
    <w:rsid w:val="007E448B"/>
    <w:rsid w:val="0080482A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A7D3D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B5D11"/>
    <w:rsid w:val="00BD25AB"/>
    <w:rsid w:val="00BD4617"/>
    <w:rsid w:val="00C12E8E"/>
    <w:rsid w:val="00C2221D"/>
    <w:rsid w:val="00C313BE"/>
    <w:rsid w:val="00C60B64"/>
    <w:rsid w:val="00CA5DBB"/>
    <w:rsid w:val="00CC6660"/>
    <w:rsid w:val="00D16301"/>
    <w:rsid w:val="00D21359"/>
    <w:rsid w:val="00D33936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E82"/>
    <w:rsid w:val="00E675E8"/>
    <w:rsid w:val="00E767CA"/>
    <w:rsid w:val="00E833B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gce@gc.d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5</cp:revision>
  <cp:lastPrinted>2020-01-21T15:04:00Z</cp:lastPrinted>
  <dcterms:created xsi:type="dcterms:W3CDTF">2023-11-09T21:26:00Z</dcterms:created>
  <dcterms:modified xsi:type="dcterms:W3CDTF">2023-11-30T13:31:00Z</dcterms:modified>
</cp:coreProperties>
</file>