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C69B5D1" w14:textId="3BEE4F8E" w:rsidR="00270FCD" w:rsidRDefault="0014700B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noProof/>
          <w:color w:val="404040"/>
          <w:sz w:val="30"/>
          <w:szCs w:val="30"/>
          <w:lang w:val="en-GB"/>
        </w:rPr>
      </w:pPr>
      <w:r w:rsidRPr="0014700B">
        <w:rPr>
          <w:rFonts w:ascii="Avenir Next LT Pro" w:hAnsi="Avenir Next LT Pro"/>
          <w:b/>
          <w:bCs/>
          <w:noProof/>
          <w:color w:val="404040"/>
          <w:sz w:val="30"/>
          <w:szCs w:val="30"/>
          <w:lang w:val="en-GB"/>
        </w:rPr>
        <w:t>Tisková zpráva</w:t>
      </w:r>
    </w:p>
    <w:p w14:paraId="406ED2C7" w14:textId="77777777" w:rsidR="0014700B" w:rsidRPr="00253004" w:rsidRDefault="0014700B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en-GB"/>
        </w:rPr>
      </w:pPr>
    </w:p>
    <w:p w14:paraId="4CB4B907" w14:textId="5B1936EC" w:rsidR="00270FCD" w:rsidRDefault="00943C97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en-GB"/>
        </w:rPr>
      </w:pPr>
      <w:proofErr w:type="spellStart"/>
      <w:r w:rsidRPr="00943C97">
        <w:rPr>
          <w:rFonts w:ascii="Avenir Next LT Pro" w:eastAsia="Verdana" w:hAnsi="Avenir Next LT Pro" w:cs="Verdana"/>
          <w:color w:val="404040"/>
          <w:u w:val="single"/>
          <w:lang w:val="en-GB"/>
        </w:rPr>
        <w:t>Společně</w:t>
      </w:r>
      <w:proofErr w:type="spellEnd"/>
      <w:r w:rsidRPr="00943C97">
        <w:rPr>
          <w:rFonts w:ascii="Avenir Next LT Pro" w:eastAsia="Verdana" w:hAnsi="Avenir Next LT Pro" w:cs="Verdana"/>
          <w:color w:val="404040"/>
          <w:u w:val="single"/>
          <w:lang w:val="en-GB"/>
        </w:rPr>
        <w:t xml:space="preserve"> </w:t>
      </w:r>
      <w:proofErr w:type="spellStart"/>
      <w:r w:rsidRPr="00943C97">
        <w:rPr>
          <w:rFonts w:ascii="Avenir Next LT Pro" w:eastAsia="Verdana" w:hAnsi="Avenir Next LT Pro" w:cs="Verdana"/>
          <w:color w:val="404040"/>
          <w:u w:val="single"/>
          <w:lang w:val="en-GB"/>
        </w:rPr>
        <w:t>můžeme</w:t>
      </w:r>
      <w:proofErr w:type="spellEnd"/>
      <w:r w:rsidRPr="00943C97">
        <w:rPr>
          <w:rFonts w:ascii="Avenir Next LT Pro" w:eastAsia="Verdana" w:hAnsi="Avenir Next LT Pro" w:cs="Verdana"/>
          <w:color w:val="404040"/>
          <w:u w:val="single"/>
          <w:lang w:val="en-GB"/>
        </w:rPr>
        <w:t xml:space="preserve"> </w:t>
      </w:r>
      <w:proofErr w:type="spellStart"/>
      <w:r w:rsidRPr="00943C97">
        <w:rPr>
          <w:rFonts w:ascii="Avenir Next LT Pro" w:eastAsia="Verdana" w:hAnsi="Avenir Next LT Pro" w:cs="Verdana"/>
          <w:color w:val="404040"/>
          <w:u w:val="single"/>
          <w:lang w:val="en-GB"/>
        </w:rPr>
        <w:t>dosáhnout</w:t>
      </w:r>
      <w:proofErr w:type="spellEnd"/>
      <w:r w:rsidRPr="00943C97">
        <w:rPr>
          <w:rFonts w:ascii="Avenir Next LT Pro" w:eastAsia="Verdana" w:hAnsi="Avenir Next LT Pro" w:cs="Verdana"/>
          <w:color w:val="404040"/>
          <w:u w:val="single"/>
          <w:lang w:val="en-GB"/>
        </w:rPr>
        <w:t xml:space="preserve"> </w:t>
      </w:r>
      <w:proofErr w:type="spellStart"/>
      <w:r w:rsidRPr="00943C97">
        <w:rPr>
          <w:rFonts w:ascii="Avenir Next LT Pro" w:eastAsia="Verdana" w:hAnsi="Avenir Next LT Pro" w:cs="Verdana"/>
          <w:color w:val="404040"/>
          <w:u w:val="single"/>
          <w:lang w:val="en-GB"/>
        </w:rPr>
        <w:t>velkých</w:t>
      </w:r>
      <w:proofErr w:type="spellEnd"/>
      <w:r w:rsidRPr="00943C97">
        <w:rPr>
          <w:rFonts w:ascii="Avenir Next LT Pro" w:eastAsia="Verdana" w:hAnsi="Avenir Next LT Pro" w:cs="Verdana"/>
          <w:color w:val="404040"/>
          <w:u w:val="single"/>
          <w:lang w:val="en-GB"/>
        </w:rPr>
        <w:t xml:space="preserve"> </w:t>
      </w:r>
      <w:proofErr w:type="spellStart"/>
      <w:r w:rsidRPr="00943C97">
        <w:rPr>
          <w:rFonts w:ascii="Avenir Next LT Pro" w:eastAsia="Verdana" w:hAnsi="Avenir Next LT Pro" w:cs="Verdana"/>
          <w:color w:val="404040"/>
          <w:u w:val="single"/>
          <w:lang w:val="en-GB"/>
        </w:rPr>
        <w:t>výšin</w:t>
      </w:r>
      <w:proofErr w:type="spellEnd"/>
    </w:p>
    <w:p w14:paraId="715CDBDD" w14:textId="77777777" w:rsidR="00943C97" w:rsidRPr="00253004" w:rsidRDefault="00943C97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color w:val="404040"/>
          <w:sz w:val="28"/>
          <w:szCs w:val="28"/>
          <w:u w:color="404040"/>
          <w:lang w:val="en-GB"/>
        </w:rPr>
      </w:pPr>
    </w:p>
    <w:p w14:paraId="1DED24C0" w14:textId="7EED6C17" w:rsidR="004E2FB3" w:rsidRPr="00253004" w:rsidRDefault="004A6E2F" w:rsidP="004E2FB3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</w:pPr>
      <w:r w:rsidRPr="0025300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 xml:space="preserve">Bio-Emulation Symposium 2023 </w:t>
      </w:r>
      <w:r w:rsid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>v</w:t>
      </w:r>
      <w:r w:rsidRPr="0025300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 xml:space="preserve"> </w:t>
      </w:r>
      <w:proofErr w:type="spellStart"/>
      <w:r w:rsidRPr="0025300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>Sofi</w:t>
      </w:r>
      <w:r w:rsid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>i</w:t>
      </w:r>
      <w:proofErr w:type="spellEnd"/>
      <w:r w:rsidRPr="0025300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 xml:space="preserve">, </w:t>
      </w:r>
      <w:proofErr w:type="spellStart"/>
      <w:r w:rsid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>Bulharsko</w:t>
      </w:r>
      <w:proofErr w:type="spellEnd"/>
      <w:r w:rsidR="003F5B0D" w:rsidRPr="0025300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 xml:space="preserve"> </w:t>
      </w:r>
      <w:r w:rsid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>v</w:t>
      </w:r>
      <w:r w:rsidR="0011543F" w:rsidRP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 xml:space="preserve"> </w:t>
      </w:r>
      <w:proofErr w:type="spellStart"/>
      <w:r w:rsidR="0011543F" w:rsidRP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>popředí</w:t>
      </w:r>
      <w:proofErr w:type="spellEnd"/>
      <w:r w:rsidR="0011543F" w:rsidRP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 xml:space="preserve"> </w:t>
      </w:r>
      <w:proofErr w:type="spellStart"/>
      <w:r w:rsid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>vynikajících</w:t>
      </w:r>
      <w:proofErr w:type="spellEnd"/>
      <w:r w:rsid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 xml:space="preserve"> </w:t>
      </w:r>
      <w:proofErr w:type="spellStart"/>
      <w:r w:rsid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>výsledků</w:t>
      </w:r>
      <w:proofErr w:type="spellEnd"/>
      <w:r w:rsid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 xml:space="preserve"> </w:t>
      </w:r>
      <w:proofErr w:type="spellStart"/>
      <w:r w:rsidR="0011543F" w:rsidRP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>ve</w:t>
      </w:r>
      <w:proofErr w:type="spellEnd"/>
      <w:r w:rsidR="0011543F" w:rsidRP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 xml:space="preserve"> </w:t>
      </w:r>
      <w:proofErr w:type="spellStart"/>
      <w:r w:rsidR="0011543F" w:rsidRPr="0011543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n-GB"/>
        </w:rPr>
        <w:t>stomatologii</w:t>
      </w:r>
      <w:proofErr w:type="spellEnd"/>
    </w:p>
    <w:p w14:paraId="200C425C" w14:textId="77777777" w:rsidR="00914FC6" w:rsidRPr="00253004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</w:p>
    <w:p w14:paraId="57CC7001" w14:textId="682409BD" w:rsidR="00914FC6" w:rsidRDefault="00306390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Sympozium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Bio-Emulation,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které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se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konalo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4. a 5.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listopadu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v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pulzujícím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městě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Sofie v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Bulharsku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svedlo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dohromady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přední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zubní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lékaře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zubní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techniky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profesionály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z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oboru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, aby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prozkoumali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špičkové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trendy v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oblasti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stomatologie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>.</w:t>
      </w:r>
      <w:r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Tato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akce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kterou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pořádá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tým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Bio-Emulation a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hrdě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sponzoruje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GC Europe,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připravila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půdu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pro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průkopnické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diskuse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306390">
        <w:rPr>
          <w:rFonts w:ascii="Avenir Next LT Pro" w:hAnsi="Avenir Next LT Pro"/>
          <w:color w:val="404040"/>
          <w:u w:color="404040"/>
          <w:lang w:val="en-GB"/>
        </w:rPr>
        <w:t>spolupráci</w:t>
      </w:r>
      <w:proofErr w:type="spellEnd"/>
      <w:r w:rsidRPr="00306390">
        <w:rPr>
          <w:rFonts w:ascii="Avenir Next LT Pro" w:hAnsi="Avenir Next LT Pro"/>
          <w:color w:val="404040"/>
          <w:u w:color="404040"/>
          <w:lang w:val="en-GB"/>
        </w:rPr>
        <w:t>.</w:t>
      </w:r>
    </w:p>
    <w:p w14:paraId="49967A91" w14:textId="77777777" w:rsidR="00306390" w:rsidRPr="00253004" w:rsidRDefault="00306390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</w:p>
    <w:p w14:paraId="4AA2B0D4" w14:textId="098C9945" w:rsidR="00914FC6" w:rsidRDefault="005A4DD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Sympozium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mělo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obrovský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úspěch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zúčastnilo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se ho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více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než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500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lidí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z 32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zemí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>.</w:t>
      </w:r>
      <w:r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Všech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jedenáct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přednášejících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prokázalo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vysokou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úroveň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v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oblasti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stomatologie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stomatologické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techniky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což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předvedli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také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na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praktických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workshopech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ukázkách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>.</w:t>
      </w:r>
      <w:r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Celkem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se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uskutečnilo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10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přednášek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gramStart"/>
      <w:r w:rsidRPr="005A4DD6">
        <w:rPr>
          <w:rFonts w:ascii="Avenir Next LT Pro" w:hAnsi="Avenir Next LT Pro"/>
          <w:color w:val="404040"/>
          <w:u w:color="404040"/>
          <w:lang w:val="en-GB"/>
        </w:rPr>
        <w:t>a</w:t>
      </w:r>
      <w:proofErr w:type="gramEnd"/>
      <w:r w:rsidRPr="005A4DD6">
        <w:rPr>
          <w:rFonts w:ascii="Avenir Next LT Pro" w:hAnsi="Avenir Next LT Pro"/>
          <w:color w:val="404040"/>
          <w:u w:color="404040"/>
          <w:lang w:val="en-GB"/>
        </w:rPr>
        <w:t xml:space="preserve"> 8 </w:t>
      </w:r>
      <w:proofErr w:type="spellStart"/>
      <w:r w:rsidRPr="005A4DD6">
        <w:rPr>
          <w:rFonts w:ascii="Avenir Next LT Pro" w:hAnsi="Avenir Next LT Pro"/>
          <w:color w:val="404040"/>
          <w:u w:color="404040"/>
          <w:lang w:val="en-GB"/>
        </w:rPr>
        <w:t>workshopů</w:t>
      </w:r>
      <w:proofErr w:type="spellEnd"/>
      <w:r w:rsidRPr="005A4DD6">
        <w:rPr>
          <w:rFonts w:ascii="Avenir Next LT Pro" w:hAnsi="Avenir Next LT Pro"/>
          <w:color w:val="404040"/>
          <w:u w:color="404040"/>
          <w:lang w:val="en-GB"/>
        </w:rPr>
        <w:t>.</w:t>
      </w:r>
    </w:p>
    <w:p w14:paraId="71E09F17" w14:textId="77777777" w:rsidR="005A4DD6" w:rsidRPr="00253004" w:rsidRDefault="005A4DD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</w:p>
    <w:p w14:paraId="2293F5ED" w14:textId="1AD286BF" w:rsidR="00914FC6" w:rsidRDefault="00FB1002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Dr.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Pierre Dimitrov,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předseda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organizačního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výboru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vyjádřil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své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nadšení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ze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sympozia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uvedl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>: "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Sympozium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Bio-Emulation je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důkazem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ducha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spolupráce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stomatologické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komunity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>.</w:t>
      </w:r>
      <w:r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Věnujeme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se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podněcování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inspirace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vášně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tato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akce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poskytla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zubním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lékařům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technikům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skvělou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příležitost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zvýšit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svůj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potenciál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prostřednictvím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networkingu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sdílení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znalostí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účasti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na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vysoce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kvalitních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workshopech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FB1002">
        <w:rPr>
          <w:rFonts w:ascii="Avenir Next LT Pro" w:hAnsi="Avenir Next LT Pro"/>
          <w:color w:val="404040"/>
          <w:u w:color="404040"/>
          <w:lang w:val="en-GB"/>
        </w:rPr>
        <w:t>přednáškách</w:t>
      </w:r>
      <w:proofErr w:type="spellEnd"/>
      <w:r w:rsidRPr="00FB1002">
        <w:rPr>
          <w:rFonts w:ascii="Avenir Next LT Pro" w:hAnsi="Avenir Next LT Pro"/>
          <w:color w:val="404040"/>
          <w:u w:color="404040"/>
          <w:lang w:val="en-GB"/>
        </w:rPr>
        <w:t>."</w:t>
      </w:r>
    </w:p>
    <w:p w14:paraId="19880D14" w14:textId="77777777" w:rsidR="00FB1002" w:rsidRPr="00253004" w:rsidRDefault="00FB1002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</w:p>
    <w:p w14:paraId="54ABA53B" w14:textId="066DC753" w:rsidR="00914FC6" w:rsidRDefault="003F2B3E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GC Europe,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oficiální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sponzor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sympozia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sehrál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klíčovou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roli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při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umožnění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tohoto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setkání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brilantních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mozků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mohl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potěšit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20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účastníků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divokou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kartou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na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konferenci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která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byla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nabídnuta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r>
        <w:rPr>
          <w:rFonts w:ascii="Avenir Next LT Pro" w:hAnsi="Avenir Next LT Pro"/>
          <w:color w:val="404040"/>
          <w:u w:color="404040"/>
          <w:lang w:val="en-GB"/>
        </w:rPr>
        <w:t xml:space="preserve">v </w:t>
      </w:r>
      <w:proofErr w:type="spellStart"/>
      <w:r>
        <w:rPr>
          <w:rFonts w:ascii="Avenir Next LT Pro" w:hAnsi="Avenir Next LT Pro"/>
          <w:color w:val="404040"/>
          <w:u w:color="404040"/>
          <w:lang w:val="en-GB"/>
        </w:rPr>
        <w:t>předstihu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>.</w:t>
      </w:r>
      <w:r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"My z GC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jsme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měli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tu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čest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zúčastnit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se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výjimečného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kongresu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lastRenderedPageBreak/>
        <w:t>kde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byla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vášeň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pro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stomatologii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hmatatelná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mezi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všemi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účastníky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,"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řekla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Kerstin Behle,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vedoucí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vzdělávání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profesionálních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služeb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v GC Europe. "</w:t>
      </w:r>
      <w:r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Vysoce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kvalitní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lektoři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nám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poskytli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neocenitelné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postřehy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příležitosti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k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navazování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kontaktů</w:t>
      </w:r>
      <w:proofErr w:type="spellEnd"/>
      <w:r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umožnil</w:t>
      </w:r>
      <w:r>
        <w:rPr>
          <w:rFonts w:ascii="Avenir Next LT Pro" w:hAnsi="Avenir Next LT Pro"/>
          <w:color w:val="404040"/>
          <w:u w:color="404040"/>
          <w:lang w:val="en-GB"/>
        </w:rPr>
        <w:t>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>
        <w:rPr>
          <w:rFonts w:ascii="Avenir Next LT Pro" w:hAnsi="Avenir Next LT Pro"/>
          <w:color w:val="404040"/>
          <w:u w:color="404040"/>
          <w:lang w:val="en-GB"/>
        </w:rPr>
        <w:t>nám</w:t>
      </w:r>
      <w:proofErr w:type="spellEnd"/>
      <w:r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navázat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spojení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s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profesionály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z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celého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světa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>.</w:t>
      </w:r>
      <w:r w:rsidR="00716E26" w:rsidRPr="00253004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Netrpělivě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očekáváme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další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ročník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protože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tento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kongres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skutečně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nastavil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standard pro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dokonalost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v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této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3F2B3E">
        <w:rPr>
          <w:rFonts w:ascii="Avenir Next LT Pro" w:hAnsi="Avenir Next LT Pro"/>
          <w:color w:val="404040"/>
          <w:u w:color="404040"/>
          <w:lang w:val="en-GB"/>
        </w:rPr>
        <w:t>oblasti</w:t>
      </w:r>
      <w:proofErr w:type="spellEnd"/>
      <w:r w:rsidRPr="003F2B3E">
        <w:rPr>
          <w:rFonts w:ascii="Avenir Next LT Pro" w:hAnsi="Avenir Next LT Pro"/>
          <w:color w:val="404040"/>
          <w:u w:color="404040"/>
          <w:lang w:val="en-GB"/>
        </w:rPr>
        <w:t>."</w:t>
      </w:r>
    </w:p>
    <w:p w14:paraId="3C8460D8" w14:textId="77777777" w:rsidR="003F2B3E" w:rsidRPr="00253004" w:rsidRDefault="003F2B3E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</w:p>
    <w:p w14:paraId="7C1E6335" w14:textId="1E9C413F" w:rsidR="00914FC6" w:rsidRDefault="000949FA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Sympozium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zahrnovalo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prezentace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workshopy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studentský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panel s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ukázkami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které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pokrývaly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širokou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škálu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témat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pro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zubní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lékaře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i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techniky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a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podporovaly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mezioborovou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spolupráci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která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slibuje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optimalizaci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léčby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>.</w:t>
      </w:r>
    </w:p>
    <w:p w14:paraId="6B7FC7A7" w14:textId="77777777" w:rsidR="000949FA" w:rsidRPr="00253004" w:rsidRDefault="000949FA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</w:p>
    <w:p w14:paraId="442A80DD" w14:textId="79CA3609" w:rsidR="00C2221D" w:rsidRPr="00253004" w:rsidRDefault="000949FA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n-GB"/>
        </w:rPr>
      </w:pP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Chcete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-li se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dozvědět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více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o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týmu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Bio-Emulation a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být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informováni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o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budoucích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událostech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, </w:t>
      </w:r>
      <w:proofErr w:type="spellStart"/>
      <w:r w:rsidRPr="000949FA">
        <w:rPr>
          <w:rFonts w:ascii="Avenir Next LT Pro" w:hAnsi="Avenir Next LT Pro"/>
          <w:color w:val="404040"/>
          <w:u w:color="404040"/>
          <w:lang w:val="en-GB"/>
        </w:rPr>
        <w:t>navštivte</w:t>
      </w:r>
      <w:proofErr w:type="spellEnd"/>
      <w:r w:rsidRPr="000949FA">
        <w:rPr>
          <w:rFonts w:ascii="Avenir Next LT Pro" w:hAnsi="Avenir Next LT Pro"/>
          <w:color w:val="404040"/>
          <w:u w:color="404040"/>
          <w:lang w:val="en-GB"/>
        </w:rPr>
        <w:t xml:space="preserve"> https://www.facebook.com/BioEmulation</w:t>
      </w:r>
      <w:r w:rsidR="004A6E2F" w:rsidRPr="00253004">
        <w:rPr>
          <w:rFonts w:ascii="Avenir Next LT Pro" w:hAnsi="Avenir Next LT Pro"/>
          <w:color w:val="404040"/>
          <w:u w:color="404040"/>
          <w:lang w:val="en-GB"/>
        </w:rPr>
        <w:t xml:space="preserve"> </w:t>
      </w:r>
    </w:p>
    <w:p w14:paraId="15A7BC93" w14:textId="77777777" w:rsidR="004A6E2F" w:rsidRPr="00253004" w:rsidRDefault="004A6E2F" w:rsidP="00914FC6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en-GB"/>
        </w:rPr>
      </w:pPr>
    </w:p>
    <w:p w14:paraId="6FE95986" w14:textId="77777777" w:rsidR="00910136" w:rsidRPr="00910136" w:rsidRDefault="00910136" w:rsidP="00910136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</w:pPr>
      <w:r w:rsidRPr="00910136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  <w:t>GCE EEO - Czech Republic</w:t>
      </w:r>
    </w:p>
    <w:p w14:paraId="661C4F48" w14:textId="77777777" w:rsidR="00910136" w:rsidRPr="00910136" w:rsidRDefault="00910136" w:rsidP="00910136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</w:pPr>
      <w:r w:rsidRPr="00910136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  <w:t xml:space="preserve">V </w:t>
      </w:r>
      <w:proofErr w:type="spellStart"/>
      <w:r w:rsidRPr="00910136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  <w:t>Olšinách</w:t>
      </w:r>
      <w:proofErr w:type="spellEnd"/>
      <w:r w:rsidRPr="00910136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  <w:t xml:space="preserve"> 82</w:t>
      </w:r>
    </w:p>
    <w:p w14:paraId="671A62AF" w14:textId="77777777" w:rsidR="00910136" w:rsidRPr="00910136" w:rsidRDefault="00910136" w:rsidP="00910136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  <w:r w:rsidRPr="00910136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  <w:t>100 00 Prague 10</w:t>
      </w:r>
    </w:p>
    <w:p w14:paraId="7A48B221" w14:textId="77777777" w:rsidR="00910136" w:rsidRPr="00910136" w:rsidRDefault="00910136" w:rsidP="00910136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  <w:proofErr w:type="spellStart"/>
      <w:r w:rsidRPr="00910136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  <w:t>Česko</w:t>
      </w:r>
      <w:proofErr w:type="spellEnd"/>
    </w:p>
    <w:p w14:paraId="51E6A508" w14:textId="77777777" w:rsidR="00910136" w:rsidRPr="00910136" w:rsidRDefault="00910136" w:rsidP="00910136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</w:p>
    <w:p w14:paraId="1856064A" w14:textId="77777777" w:rsidR="00910136" w:rsidRPr="00910136" w:rsidRDefault="00910136" w:rsidP="00910136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  <w:r w:rsidRPr="00910136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  <w:t>+420 274 77 19 65</w:t>
      </w:r>
    </w:p>
    <w:p w14:paraId="373C0B51" w14:textId="77777777" w:rsidR="00910136" w:rsidRPr="00910136" w:rsidRDefault="00910136" w:rsidP="00910136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  <w:r w:rsidRPr="00910136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  <w:t>+420 274 77 19 65</w:t>
      </w:r>
    </w:p>
    <w:p w14:paraId="158AF261" w14:textId="77777777" w:rsidR="00910136" w:rsidRPr="00910136" w:rsidRDefault="00910136" w:rsidP="00910136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  <w:proofErr w:type="spellStart"/>
      <w:r w:rsidRPr="00910136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  <w:t>info.czech@gc.dental</w:t>
      </w:r>
      <w:proofErr w:type="spellEnd"/>
    </w:p>
    <w:p w14:paraId="4489D452" w14:textId="0E811F73" w:rsidR="00BB5D11" w:rsidRPr="00910136" w:rsidRDefault="00910136" w:rsidP="00910136">
      <w:pPr>
        <w:ind w:left="-990" w:right="-868"/>
        <w:rPr>
          <w:rFonts w:ascii="Avenir Next LT Pro" w:hAnsi="Avenir Next LT Pro"/>
          <w:spacing w:val="5"/>
          <w:kern w:val="28"/>
          <w:sz w:val="22"/>
          <w:szCs w:val="22"/>
          <w:u w:val="single"/>
          <w:lang w:val="fr-FR"/>
        </w:rPr>
      </w:pPr>
      <w:r w:rsidRPr="00910136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czech.gceurope.com</w:t>
      </w:r>
      <w:bookmarkStart w:id="0" w:name="_GoBack"/>
      <w:bookmarkEnd w:id="0"/>
    </w:p>
    <w:sectPr w:rsidR="00BB5D11" w:rsidRPr="00910136" w:rsidSect="00A5023C">
      <w:headerReference w:type="default" r:id="rId7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224" w14:textId="77777777" w:rsidR="00671E66" w:rsidRDefault="00671E66">
      <w:r>
        <w:separator/>
      </w:r>
    </w:p>
  </w:endnote>
  <w:endnote w:type="continuationSeparator" w:id="0">
    <w:p w14:paraId="67786A7B" w14:textId="77777777" w:rsidR="00671E66" w:rsidRDefault="0067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F363" w14:textId="77777777" w:rsidR="00671E66" w:rsidRDefault="00671E66">
      <w:r>
        <w:separator/>
      </w:r>
    </w:p>
  </w:footnote>
  <w:footnote w:type="continuationSeparator" w:id="0">
    <w:p w14:paraId="30408D03" w14:textId="77777777" w:rsidR="00671E66" w:rsidRDefault="0067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D07A4"/>
    <w:multiLevelType w:val="hybridMultilevel"/>
    <w:tmpl w:val="B952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949FA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543F"/>
    <w:rsid w:val="00116E35"/>
    <w:rsid w:val="0014700B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53004"/>
    <w:rsid w:val="00270FCD"/>
    <w:rsid w:val="00291EEA"/>
    <w:rsid w:val="002974A2"/>
    <w:rsid w:val="002A1F4F"/>
    <w:rsid w:val="002A4426"/>
    <w:rsid w:val="002C389F"/>
    <w:rsid w:val="003042DF"/>
    <w:rsid w:val="00306390"/>
    <w:rsid w:val="00312F6E"/>
    <w:rsid w:val="0031509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F1B6F"/>
    <w:rsid w:val="003F2B3E"/>
    <w:rsid w:val="003F5B0D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A6E2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1FD2"/>
    <w:rsid w:val="00587CDE"/>
    <w:rsid w:val="005A4DD6"/>
    <w:rsid w:val="005D1861"/>
    <w:rsid w:val="005D7797"/>
    <w:rsid w:val="005E7894"/>
    <w:rsid w:val="00606560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C68FF"/>
    <w:rsid w:val="00716E26"/>
    <w:rsid w:val="0072441C"/>
    <w:rsid w:val="00737C03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1644"/>
    <w:rsid w:val="008753D9"/>
    <w:rsid w:val="00881F99"/>
    <w:rsid w:val="008A56E8"/>
    <w:rsid w:val="008A629E"/>
    <w:rsid w:val="008F7868"/>
    <w:rsid w:val="00906474"/>
    <w:rsid w:val="00910136"/>
    <w:rsid w:val="00911D35"/>
    <w:rsid w:val="00914C1C"/>
    <w:rsid w:val="00914FC6"/>
    <w:rsid w:val="00917845"/>
    <w:rsid w:val="00943C97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64112"/>
    <w:rsid w:val="00F966A1"/>
    <w:rsid w:val="00FA78C1"/>
    <w:rsid w:val="00FB1002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1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2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11</cp:revision>
  <cp:lastPrinted>2020-01-21T15:04:00Z</cp:lastPrinted>
  <dcterms:created xsi:type="dcterms:W3CDTF">2023-12-04T08:31:00Z</dcterms:created>
  <dcterms:modified xsi:type="dcterms:W3CDTF">2023-12-07T11:19:00Z</dcterms:modified>
</cp:coreProperties>
</file>