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FC5F801" w:rsidR="004C48D0" w:rsidRPr="00C1773A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C1773A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C1773A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>Pr</w:t>
      </w:r>
      <w:r w:rsidR="001D74B3" w:rsidRPr="00C1773A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>iopćenje za medije</w:t>
      </w:r>
    </w:p>
    <w:p w14:paraId="0C69B5D1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</w:p>
    <w:p w14:paraId="44BB3312" w14:textId="68E74733" w:rsidR="004C48D0" w:rsidRPr="00C1773A" w:rsidRDefault="001D74B3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Povratak korijenima</w:t>
      </w:r>
      <w:r w:rsidR="00D16301" w:rsidRPr="00C1773A">
        <w:rPr>
          <w:rFonts w:ascii="Avenir Next LT Pro" w:eastAsia="Verdana" w:hAnsi="Avenir Next LT Pro" w:cs="Verdana"/>
          <w:color w:val="404040"/>
          <w:u w:val="single"/>
          <w:lang w:val="hr-HR"/>
        </w:rPr>
        <w:t>!</w:t>
      </w:r>
    </w:p>
    <w:p w14:paraId="4CB4B907" w14:textId="77777777" w:rsidR="00270FCD" w:rsidRPr="00C1773A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hr-HR"/>
        </w:rPr>
      </w:pPr>
    </w:p>
    <w:p w14:paraId="7892E196" w14:textId="35E529D5" w:rsidR="00E05127" w:rsidRDefault="006822E2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  <w:r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 xml:space="preserve">GC </w:t>
      </w:r>
      <w:r w:rsidR="00E05127" w:rsidRPr="00C1773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  <w:t>povećava svijest o prevenciji i liječenju karijesa korijena kod starijih osoba</w:t>
      </w:r>
    </w:p>
    <w:p w14:paraId="0A8A4AE7" w14:textId="77777777" w:rsidR="00C1773A" w:rsidRPr="00C1773A" w:rsidRDefault="00C1773A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hr-HR"/>
        </w:rPr>
      </w:pPr>
    </w:p>
    <w:p w14:paraId="51BEB7B6" w14:textId="1879C1B3" w:rsidR="00E05127" w:rsidRPr="00C1773A" w:rsidRDefault="00E05127" w:rsidP="00A16586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Karijes korijena nije “nov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”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stanje,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no utvrđeno je da je u porastu zbog sve duljeg očekivanog životnog vijeka i pacijenata koji zadržavaju prirodne zube i u starijoj dobi. Pruža mnoge izazove, budući da najviše zahvaća starije osobe, koje češće imaju složenu anamnezu ili smanjenu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fizičku spretnost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Budući da se demineralizacija događa dvaput brže na površinama korijena nego na caklini, mogu se očekivati teškoće.</w:t>
      </w:r>
    </w:p>
    <w:p w14:paraId="586986FB" w14:textId="69A2E512" w:rsidR="00E0512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Kao japanska tvrtka, GC je vrlo angažiran u pružanju oralnog zdravlja starijih osoba. 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Budući da ima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najstariju populaciju na svijetu, Japan je predvodnik u razvoju strategija brige o starijima.</w:t>
      </w:r>
    </w:p>
    <w:p w14:paraId="4E738670" w14:textId="33D0AD45" w:rsidR="00F43F97" w:rsidRPr="00C1773A" w:rsidRDefault="00F43F97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“Posvećeni smo stvaranju pozitivnih promjena u području dentalne medicine,” kaže Laetitia L</w:t>
      </w:r>
      <w:r w:rsidR="00A16586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a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voix, generalna direktorica marketinga u GC Europe. “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vom ka</w:t>
      </w:r>
      <w:r w:rsid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m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panjom želimo ista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knuti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važnost planiranja unaprijed za budućnost pacijenta. Liječenja koja sada nudimo ne trebaju samo koristiti pacijentima kratkoročno, već </w:t>
      </w:r>
      <w:r w:rsidR="00AE7345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kada postanu stariji, sa svim izazovima koji dolaze s time. Stoga treba istaknuti prev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en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ciju i održiv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o liječenje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. Kao i u prošlim kampanjama pružit ćemo niz edukacijskih materijala na tu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temu, sastavljen</w:t>
      </w:r>
      <w:r w:rsidR="00C1773A"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>ih</w:t>
      </w:r>
      <w:r w:rsidRPr="00C1773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hr-HR"/>
        </w:rPr>
        <w:t xml:space="preserve"> u suradnji s uglednim kliničarima.”</w:t>
      </w:r>
    </w:p>
    <w:p w14:paraId="6FD96BF9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</w:p>
    <w:p w14:paraId="031022A0" w14:textId="451628A4" w:rsidR="00D16301" w:rsidRPr="00C1773A" w:rsidRDefault="001D74B3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</w:pP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Više informacija o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="006822E2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>GC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kampanji o karijesu korijena i našoj širokoj paleti proizvoda i informativnim alatima potražite</w:t>
      </w:r>
      <w:r w:rsidR="00D16301"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  <w:r w:rsidRPr="00C1773A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na </w:t>
      </w:r>
      <w:hyperlink r:id="rId7" w:history="1">
        <w:r w:rsidR="00F3637C" w:rsidRPr="000A440E">
          <w:rPr>
            <w:rStyle w:val="Hyperlink"/>
            <w:rFonts w:ascii="Avenir Next LT Pro" w:hAnsi="Avenir Next LT Pro"/>
            <w:sz w:val="22"/>
            <w:szCs w:val="22"/>
            <w:lang w:val="hr-HR"/>
          </w:rPr>
          <w:t>https://www.gc.dental/europe/hr-HR/gccampaign/rootcaries</w:t>
        </w:r>
      </w:hyperlink>
      <w:r w:rsidR="00F3637C">
        <w:rPr>
          <w:rFonts w:ascii="Avenir Next LT Pro" w:hAnsi="Avenir Next LT Pro"/>
          <w:color w:val="404040"/>
          <w:sz w:val="22"/>
          <w:szCs w:val="22"/>
          <w:u w:color="404040"/>
          <w:lang w:val="hr-HR"/>
        </w:rPr>
        <w:t xml:space="preserve"> </w:t>
      </w:r>
    </w:p>
    <w:p w14:paraId="1D0D0EA5" w14:textId="77777777" w:rsidR="00D16301" w:rsidRPr="00C1773A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22C0B5E7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560F24FA" w14:textId="77777777" w:rsidR="00D16301" w:rsidRPr="00C1773A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  <w:lang w:val="hr-HR"/>
        </w:rPr>
      </w:pPr>
    </w:p>
    <w:p w14:paraId="442A80DD" w14:textId="1E0A5E4B" w:rsidR="00C2221D" w:rsidRPr="00C1773A" w:rsidRDefault="00C2221D" w:rsidP="00D16301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29BB17FA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bookmarkStart w:id="0" w:name="_Hlk155084913"/>
      <w:bookmarkStart w:id="1" w:name="_GoBack"/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GCE EEO - Croatia</w:t>
      </w:r>
    </w:p>
    <w:p w14:paraId="09939795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Siget 19B</w:t>
      </w:r>
    </w:p>
    <w:p w14:paraId="7E2AE6B9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10020 Zagreb</w:t>
      </w:r>
    </w:p>
    <w:p w14:paraId="4EE23EDE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Hrvatska</w:t>
      </w:r>
    </w:p>
    <w:p w14:paraId="5892A7A2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</w:p>
    <w:p w14:paraId="0D35DBA7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+385 1 615 45 97</w:t>
      </w:r>
    </w:p>
    <w:p w14:paraId="66385B6D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+385 1 615 45 97</w:t>
      </w:r>
    </w:p>
    <w:p w14:paraId="1B18428F" w14:textId="77777777" w:rsidR="00F3637C" w:rsidRDefault="00F3637C" w:rsidP="00F3637C">
      <w:pPr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info.croatia@gc.dental</w:t>
      </w:r>
    </w:p>
    <w:p w14:paraId="0CBE3940" w14:textId="77777777" w:rsidR="00F3637C" w:rsidRDefault="00F3637C" w:rsidP="00F3637C">
      <w:pPr>
        <w:ind w:left="-990" w:right="-868"/>
        <w:rPr>
          <w:rFonts w:ascii="Avenir Next LT Pro" w:hAnsi="Avenir Next LT Pro"/>
          <w:spacing w:val="5"/>
          <w:kern w:val="28"/>
          <w:sz w:val="22"/>
          <w:szCs w:val="22"/>
          <w:u w:val="single"/>
          <w:lang w:val="hr-HR"/>
        </w:rPr>
      </w:pPr>
      <w:r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lang w:val="hr-HR"/>
        </w:rPr>
        <w:t>croatia.gceurope.com</w:t>
      </w:r>
    </w:p>
    <w:bookmarkEnd w:id="0"/>
    <w:bookmarkEnd w:id="1"/>
    <w:p w14:paraId="2AEB49FD" w14:textId="77777777" w:rsidR="00A5023C" w:rsidRPr="00C1773A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hr-HR"/>
        </w:rPr>
      </w:pPr>
    </w:p>
    <w:sectPr w:rsidR="00A5023C" w:rsidRPr="00C1773A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1D7D3" w14:textId="77777777" w:rsidR="004A1598" w:rsidRDefault="004A1598">
      <w:r>
        <w:separator/>
      </w:r>
    </w:p>
  </w:endnote>
  <w:endnote w:type="continuationSeparator" w:id="0">
    <w:p w14:paraId="78CFC12F" w14:textId="77777777" w:rsidR="004A1598" w:rsidRDefault="004A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E5D6" w14:textId="77777777" w:rsidR="004A1598" w:rsidRDefault="004A1598">
      <w:r>
        <w:separator/>
      </w:r>
    </w:p>
  </w:footnote>
  <w:footnote w:type="continuationSeparator" w:id="0">
    <w:p w14:paraId="6C43E2DF" w14:textId="77777777" w:rsidR="004A1598" w:rsidRDefault="004A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D74B3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1598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72441C"/>
    <w:rsid w:val="00737C03"/>
    <w:rsid w:val="00775ABD"/>
    <w:rsid w:val="00776B7A"/>
    <w:rsid w:val="00776E54"/>
    <w:rsid w:val="007A16BC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16586"/>
    <w:rsid w:val="00A304BF"/>
    <w:rsid w:val="00A5023C"/>
    <w:rsid w:val="00A65A6F"/>
    <w:rsid w:val="00A7156F"/>
    <w:rsid w:val="00A7746D"/>
    <w:rsid w:val="00A844B5"/>
    <w:rsid w:val="00AC77C3"/>
    <w:rsid w:val="00AE06AA"/>
    <w:rsid w:val="00AE7345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25AB"/>
    <w:rsid w:val="00BD4617"/>
    <w:rsid w:val="00C12E8E"/>
    <w:rsid w:val="00C1773A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5127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3637C"/>
    <w:rsid w:val="00F36647"/>
    <w:rsid w:val="00F43F97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hr-HR/gccampaign/rootc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2023-12-08T15:07:00Z</dcterms:created>
  <dcterms:modified xsi:type="dcterms:W3CDTF">2024-01-02T09:49:00Z</dcterms:modified>
</cp:coreProperties>
</file>