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17727EF2" w:rsidR="004C48D0" w:rsidRPr="00C1773A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hr-HR"/>
        </w:rPr>
      </w:pPr>
      <w:r w:rsidRPr="00C1773A">
        <w:rPr>
          <w:rFonts w:ascii="Avenir Next LT Pro" w:hAnsi="Avenir Next LT Pro"/>
          <w:b/>
          <w:bCs/>
          <w:noProof/>
          <w:color w:val="404040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DD2E49"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hr-HR"/>
        </w:rPr>
        <w:t>Saopštenje za javnost</w:t>
      </w:r>
    </w:p>
    <w:p w14:paraId="0C69B5D1" w14:textId="77777777" w:rsidR="00270FCD" w:rsidRPr="00C1773A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</w:p>
    <w:p w14:paraId="44BB3312" w14:textId="31B41FED" w:rsidR="004C48D0" w:rsidRPr="00C1773A" w:rsidRDefault="001D74B3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u w:val="single"/>
          <w:lang w:val="hr-HR"/>
        </w:rPr>
        <w:t>Povratak korenima</w:t>
      </w:r>
      <w:r w:rsidR="00D16301" w:rsidRPr="00C1773A">
        <w:rPr>
          <w:rFonts w:ascii="Avenir Next LT Pro" w:eastAsia="Verdana" w:hAnsi="Avenir Next LT Pro" w:cs="Verdana"/>
          <w:color w:val="404040"/>
          <w:u w:val="single"/>
          <w:lang w:val="hr-HR"/>
        </w:rPr>
        <w:t>!</w:t>
      </w:r>
    </w:p>
    <w:p w14:paraId="4CB4B907" w14:textId="77777777" w:rsidR="00270FCD" w:rsidRPr="00C1773A" w:rsidRDefault="00270FCD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hr-HR"/>
        </w:rPr>
      </w:pPr>
    </w:p>
    <w:p w14:paraId="7892E196" w14:textId="5363F6EA" w:rsidR="00E05127" w:rsidRDefault="006822E2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  <w:r w:rsidRPr="00C1773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 xml:space="preserve">GC </w:t>
      </w:r>
      <w:r w:rsidR="00E05127" w:rsidRPr="00C1773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>povećava svest o prevenciji i lečenju karijesa korena kod starijih osoba</w:t>
      </w:r>
    </w:p>
    <w:p w14:paraId="0A8A4AE7" w14:textId="77777777" w:rsidR="00C1773A" w:rsidRPr="00C1773A" w:rsidRDefault="00C1773A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</w:p>
    <w:p w14:paraId="51BEB7B6" w14:textId="50255699" w:rsidR="00E05127" w:rsidRPr="00C1773A" w:rsidRDefault="00E05127" w:rsidP="00A16586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Karijes korena nije “nov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”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stanje,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ali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utvrđeno je da je u porastu zbog sve du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žeg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očekivanog životnog veka i pacijenata koji zadržavaju prirodne zube i u starij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em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dob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u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. Pruža mnoge izazove, budući da najviše zahva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t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a starije osobe, koje češće imaju složenu anamnezu ili smanjenu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fizičku spretnost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. Budući da se demineralizacija događa dvaput brže na površinama korena nego na 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gleđ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i, mogu se očekivati teškoće.</w:t>
      </w:r>
    </w:p>
    <w:p w14:paraId="586986FB" w14:textId="4288F3B1" w:rsidR="00E05127" w:rsidRPr="00C1773A" w:rsidRDefault="00F43F97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Kao japanska 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fabrika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, GC je vrlo angaž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ova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n u pružanju oralnog zdravlja starij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im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osoba.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Budući da ima 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najstariju populaciju na svetu, Japan je predvodnik u razvoju strategija brige o starijima.</w:t>
      </w:r>
    </w:p>
    <w:p w14:paraId="4E738670" w14:textId="491A5E75" w:rsidR="00F43F97" w:rsidRPr="00C1773A" w:rsidRDefault="00F43F97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“Posvećeni smo stvaranju pozitivnih promena u području dentalne medicine,” kaže Laetitia L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voix, generalna direktor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ka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marketinga u GC Europe. “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vom ka</w:t>
      </w:r>
      <w:r w:rsid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m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panjom želimo ista</w:t>
      </w:r>
      <w:r w:rsidR="00AE7345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knuti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važnost planiranja unapred za budućnost pacijenta. Lečenja koja sada nudimo ne trebaju samo koristiti pacijentima kratkoročno, već </w:t>
      </w:r>
      <w:r w:rsidR="00AE7345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i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kada postanu stariji, sa svim izazovima koji dolaze s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time. 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Zato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treba istaknuti prev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en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ciju i održiv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 lečenje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. Kao i u prošlim kampanjama pružićemo niz edukaci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onih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materijala na tu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temu, sastavljen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ih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u s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radnji s</w:t>
      </w:r>
      <w:r w:rsidR="00DD2E4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uglednim kliničarima.”</w:t>
      </w:r>
    </w:p>
    <w:p w14:paraId="6FD96BF9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</w:pPr>
    </w:p>
    <w:p w14:paraId="031022A0" w14:textId="2A99E274" w:rsidR="00D16301" w:rsidRPr="00C1773A" w:rsidRDefault="001D74B3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>Više informacija o</w:t>
      </w:r>
      <w:r w:rsidR="00D16301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  <w:r w:rsidR="006822E2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>GC</w:t>
      </w: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kampanji o karijesu korena i našoj širokoj paleti proizvoda i informativnim alatima potražite</w:t>
      </w:r>
      <w:r w:rsidR="00D16301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na </w:t>
      </w:r>
      <w:hyperlink r:id="rId7" w:history="1">
        <w:r w:rsidR="00C5313B" w:rsidRPr="00D81EB2">
          <w:rPr>
            <w:rStyle w:val="Hyperlink"/>
            <w:rFonts w:ascii="Avenir Next LT Pro" w:hAnsi="Avenir Next LT Pro"/>
            <w:sz w:val="22"/>
            <w:szCs w:val="22"/>
            <w:lang w:val="hr-HR"/>
          </w:rPr>
          <w:t>https://www.gc.dental/europe/sr-RS/gccampaign/rootcaries</w:t>
        </w:r>
      </w:hyperlink>
      <w:r w:rsidR="00C5313B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  <w:bookmarkStart w:id="0" w:name="_GoBack"/>
      <w:bookmarkEnd w:id="0"/>
    </w:p>
    <w:p w14:paraId="1D0D0EA5" w14:textId="77777777" w:rsidR="00D16301" w:rsidRPr="00C1773A" w:rsidRDefault="00D16301" w:rsidP="006822E2">
      <w:pPr>
        <w:spacing w:line="360" w:lineRule="auto"/>
        <w:ind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22C0B5E7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560F24FA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442A80DD" w14:textId="1E0A5E4B" w:rsidR="00C2221D" w:rsidRPr="00C1773A" w:rsidRDefault="00C2221D" w:rsidP="00D16301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69EBC2A1" w14:textId="77777777" w:rsidR="00C5313B" w:rsidRDefault="00C5313B" w:rsidP="00C5313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GC EUROPE N.V. - East European Office</w:t>
      </w:r>
    </w:p>
    <w:p w14:paraId="14969B25" w14:textId="77777777" w:rsidR="00C5313B" w:rsidRDefault="00C5313B" w:rsidP="00C5313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Siget 19B</w:t>
      </w:r>
    </w:p>
    <w:p w14:paraId="70CA8932" w14:textId="77777777" w:rsidR="00C5313B" w:rsidRDefault="00C5313B" w:rsidP="00C5313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10020 Zagreb</w:t>
      </w:r>
    </w:p>
    <w:p w14:paraId="24FE2A31" w14:textId="77777777" w:rsidR="00C5313B" w:rsidRDefault="00C5313B" w:rsidP="00C5313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lang w:val="hr-HR"/>
        </w:rPr>
        <w:t>Хрватска</w:t>
      </w:r>
    </w:p>
    <w:p w14:paraId="45A56A59" w14:textId="77777777" w:rsidR="00C5313B" w:rsidRDefault="00C5313B" w:rsidP="00C5313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</w:p>
    <w:p w14:paraId="75EDBC49" w14:textId="77777777" w:rsidR="00C5313B" w:rsidRDefault="00C5313B" w:rsidP="00C5313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+385 1 467 84 74</w:t>
      </w:r>
    </w:p>
    <w:p w14:paraId="3C5D2233" w14:textId="77777777" w:rsidR="00C5313B" w:rsidRDefault="00C5313B" w:rsidP="00C5313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+385 1 467 84 73</w:t>
      </w:r>
    </w:p>
    <w:p w14:paraId="5BF5C4BC" w14:textId="77777777" w:rsidR="00C5313B" w:rsidRDefault="00C5313B" w:rsidP="00C5313B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info.eeo@gc.dental</w:t>
      </w:r>
    </w:p>
    <w:p w14:paraId="7E8941B3" w14:textId="77777777" w:rsidR="00C5313B" w:rsidRDefault="00C5313B" w:rsidP="00C5313B">
      <w:pPr>
        <w:pStyle w:val="NormalWeb"/>
        <w:spacing w:before="0" w:after="0" w:line="276" w:lineRule="auto"/>
        <w:ind w:left="-990" w:right="-868"/>
        <w:rPr>
          <w:rStyle w:val="Hyperlink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eeo.gceurope.com</w:t>
      </w:r>
    </w:p>
    <w:p w14:paraId="2AEB49FD" w14:textId="77777777" w:rsidR="00A5023C" w:rsidRPr="00C1773A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hr-HR"/>
        </w:rPr>
      </w:pPr>
    </w:p>
    <w:sectPr w:rsidR="00A5023C" w:rsidRPr="00C1773A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C9E5C" w14:textId="77777777" w:rsidR="006B1B03" w:rsidRDefault="006B1B03">
      <w:r>
        <w:separator/>
      </w:r>
    </w:p>
  </w:endnote>
  <w:endnote w:type="continuationSeparator" w:id="0">
    <w:p w14:paraId="541DAABA" w14:textId="77777777" w:rsidR="006B1B03" w:rsidRDefault="006B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C9EE0" w14:textId="77777777" w:rsidR="006B1B03" w:rsidRDefault="006B1B03">
      <w:r>
        <w:separator/>
      </w:r>
    </w:p>
  </w:footnote>
  <w:footnote w:type="continuationSeparator" w:id="0">
    <w:p w14:paraId="1BD440F0" w14:textId="77777777" w:rsidR="006B1B03" w:rsidRDefault="006B1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D74B3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1598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822E2"/>
    <w:rsid w:val="006B1B03"/>
    <w:rsid w:val="006C68FF"/>
    <w:rsid w:val="0072441C"/>
    <w:rsid w:val="00737C03"/>
    <w:rsid w:val="00775ABD"/>
    <w:rsid w:val="00776B7A"/>
    <w:rsid w:val="00776E54"/>
    <w:rsid w:val="007A16BC"/>
    <w:rsid w:val="007D00B3"/>
    <w:rsid w:val="007D0B51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16586"/>
    <w:rsid w:val="00A304BF"/>
    <w:rsid w:val="00A5023C"/>
    <w:rsid w:val="00A65A6F"/>
    <w:rsid w:val="00A7156F"/>
    <w:rsid w:val="00A7746D"/>
    <w:rsid w:val="00A844B5"/>
    <w:rsid w:val="00AC77C3"/>
    <w:rsid w:val="00AE06AA"/>
    <w:rsid w:val="00AE7345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25AB"/>
    <w:rsid w:val="00BD4617"/>
    <w:rsid w:val="00C12E8E"/>
    <w:rsid w:val="00C1773A"/>
    <w:rsid w:val="00C2221D"/>
    <w:rsid w:val="00C5313B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2E49"/>
    <w:rsid w:val="00DD4ADD"/>
    <w:rsid w:val="00DF3946"/>
    <w:rsid w:val="00E00439"/>
    <w:rsid w:val="00E05127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36647"/>
    <w:rsid w:val="00F43F97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sr-RS/gccampaign/rootca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2023-12-11T11:52:00Z</dcterms:created>
  <dcterms:modified xsi:type="dcterms:W3CDTF">2024-01-02T10:05:00Z</dcterms:modified>
</cp:coreProperties>
</file>