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63AE176F" w:rsidR="004C48D0" w:rsidRPr="008F33B4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</w:pPr>
      <w:r w:rsidRPr="008F33B4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415188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hr-HR"/>
        </w:rPr>
        <w:t>Saopštenje</w:t>
      </w:r>
      <w:r w:rsidR="002A53D1" w:rsidRPr="008F33B4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 xml:space="preserve"> za medije</w:t>
      </w:r>
    </w:p>
    <w:p w14:paraId="0C69B5D1" w14:textId="77777777" w:rsidR="00270FCD" w:rsidRPr="008F33B4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5643A72F" w14:textId="77777777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>Umijeće timskog rada</w:t>
      </w:r>
    </w:p>
    <w:p w14:paraId="7C7189D7" w14:textId="77777777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2AC20028" w14:textId="4A7D1C2E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>GC jača dentalne stručnjake najs</w:t>
      </w:r>
      <w:r w:rsidR="00415188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>a</w:t>
      </w:r>
      <w:r w:rsidRPr="008F33B4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>vremenijim litij-disilikatnim proizvodima</w:t>
      </w:r>
    </w:p>
    <w:p w14:paraId="6F8CCC87" w14:textId="11BF8944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“Radeći zajedno i s dobrim proizvodima, može se postići više.”</w:t>
      </w:r>
    </w:p>
    <w:p w14:paraId="078F5A9F" w14:textId="77777777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219437BE" w14:textId="3D992A4D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To je načelo najnovije </w:t>
      </w:r>
      <w:r w:rsidR="008B1EB5">
        <w:rPr>
          <w:rFonts w:ascii="Avenir Next LT Pro" w:eastAsia="Verdana" w:hAnsi="Avenir Next LT Pro" w:cs="Verdana"/>
          <w:color w:val="000000" w:themeColor="text1"/>
          <w:lang w:val="hr-HR"/>
        </w:rPr>
        <w:t xml:space="preserve">GC 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kampanje, koja ističe sinergiju između Initial litij-disilikatnih proizvoda (Initial LiSi), namijenjenih za izradu restauracija najvišeg standarda.</w:t>
      </w:r>
    </w:p>
    <w:p w14:paraId="4E2B2D6B" w14:textId="77777777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74FFFD4D" w14:textId="3692BE72" w:rsidR="00076EC4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Initial LiSi Press i Initial LiSi Block, poznati po svojoj izv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rsnoj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kvaliteti i profinjenoj strukturi, zajedno s poboljšanim rješenjima za mikroslojevanje i cementiranje, čine 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široki asortiman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za postizanje 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izvrsnih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, 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vrhunsko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estetskih i preciznih zubnih nadomjestaka na vremenski </w:t>
      </w:r>
      <w:r w:rsidR="00415188">
        <w:rPr>
          <w:rFonts w:ascii="Avenir Next LT Pro" w:eastAsia="Verdana" w:hAnsi="Avenir Next LT Pro" w:cs="Verdana"/>
          <w:color w:val="000000" w:themeColor="text1"/>
          <w:lang w:val="hr-HR"/>
        </w:rPr>
        <w:t>efikasan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način.</w:t>
      </w:r>
    </w:p>
    <w:p w14:paraId="331D3D30" w14:textId="77777777" w:rsidR="007847F0" w:rsidRPr="008F33B4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7E99F73C" w14:textId="02999261" w:rsidR="001812E1" w:rsidRPr="008F33B4" w:rsidRDefault="001812E1" w:rsidP="001E22F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Initial LiSi je postao sinonim za estetsku izvrsnost, snagu i trajnost u svijetu dentalne tehnologije. Profinjena, homogena struktura litij-disilikata ne samo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što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pruža izvrsni estetski rezultat, već i naglašava praktične prednosti, kao što je lakoća poliranja i postizanje t</w:t>
      </w:r>
      <w:r w:rsidR="00415188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čnih, glatkih i stabilnih rubova. Kontinuirano proširenje asortimana CAD/CAM direktnih materijala – u kombinaciji s GC rješenjima za karakterizaciju i cementiranje – stvara sve veću svijest dentalnih tehničara i doktora dentalne medicine o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izrazito 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velikom potencijalu Initial LiSi linije proizvoda.</w:t>
      </w:r>
    </w:p>
    <w:p w14:paraId="241F4F10" w14:textId="77777777" w:rsidR="007847F0" w:rsidRPr="008F33B4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3C62F3FC" w14:textId="0FDFC6F2" w:rsidR="001812E1" w:rsidRPr="008F33B4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"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Naši proizvodi i rješenja iskaz su naše</w:t>
      </w:r>
      <w:r w:rsidR="00F069AD">
        <w:rPr>
          <w:rFonts w:ascii="Avenir Next LT Pro" w:eastAsia="Verdana" w:hAnsi="Avenir Next LT Pro" w:cs="Verdana"/>
          <w:color w:val="000000" w:themeColor="text1"/>
          <w:lang w:val="hr-HR"/>
        </w:rPr>
        <w:t>g entuzijazma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za unapređenjem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brige o zubima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," kaže Laetitia Lavoix, generalna direktorica marketinga u GC Europe. "Vjerujemo u kvalitetnu estetsku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dentalnu medicinu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. Sinergija unutar Initial LiSi linije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proizvoda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i 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lastRenderedPageBreak/>
        <w:t>njezinih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srodnih proizvoda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, pruža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dentalnim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stručnjacima visoko </w:t>
      </w:r>
      <w:r w:rsidR="00415188">
        <w:rPr>
          <w:rFonts w:ascii="Avenir Next LT Pro" w:eastAsia="Verdana" w:hAnsi="Avenir Next LT Pro" w:cs="Verdana"/>
          <w:color w:val="000000" w:themeColor="text1"/>
          <w:lang w:val="hr-HR"/>
        </w:rPr>
        <w:t>efikasne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materijale za izradu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vrhunskih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restauracija uz najmanje napora."</w:t>
      </w:r>
    </w:p>
    <w:p w14:paraId="1D876721" w14:textId="77777777" w:rsidR="007847F0" w:rsidRPr="008F33B4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18DF79E7" w14:textId="1594264D" w:rsidR="001E22F1" w:rsidRPr="008F33B4" w:rsidRDefault="001E22F1" w:rsidP="00EE790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"Umijeće timskog rada" više je od kampanje; to je proslava s</w:t>
      </w:r>
      <w:r w:rsidR="00415188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radnje i </w:t>
      </w:r>
      <w:r w:rsidR="008F33B4">
        <w:rPr>
          <w:rFonts w:ascii="Avenir Next LT Pro" w:eastAsia="Verdana" w:hAnsi="Avenir Next LT Pro" w:cs="Verdana"/>
          <w:color w:val="000000" w:themeColor="text1"/>
          <w:lang w:val="hr-HR"/>
        </w:rPr>
        <w:t>preciznosti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u svijetu dentalne medicine,” dodao je Diederik Hellingh, voditelj poslovne jedinice Laboratorij i protetika. “Doktori dentalne medicine i tehničari mogu stvoriti remek-djela </w:t>
      </w:r>
      <w:r w:rsidR="00415188">
        <w:rPr>
          <w:rFonts w:ascii="Avenir Next LT Pro" w:eastAsia="Verdana" w:hAnsi="Avenir Next LT Pro" w:cs="Verdana"/>
          <w:color w:val="000000" w:themeColor="text1"/>
          <w:lang w:val="hr-HR"/>
        </w:rPr>
        <w:t>kombinujući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najbolje materijale, tehnologiju, radne postupke i stručnost. Iskorištavanjem potencijala s</w:t>
      </w:r>
      <w:r w:rsidR="00415188">
        <w:rPr>
          <w:rFonts w:ascii="Avenir Next LT Pro" w:eastAsia="Verdana" w:hAnsi="Avenir Next LT Pro" w:cs="Verdana"/>
          <w:color w:val="000000" w:themeColor="text1"/>
          <w:lang w:val="hr-HR"/>
        </w:rPr>
        <w:t>a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radnje Initial LiSi proizvoda i Initial IQ ONE SQIN, razvija se snažna sinergija. Ova strategija ne samo da je usklađena s težnjom za ispunjavanjem najviših estetskih standarda, već se i </w:t>
      </w:r>
      <w:r w:rsid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savršeno </w:t>
      </w:r>
      <w:r w:rsidR="00415188">
        <w:rPr>
          <w:rFonts w:ascii="Avenir Next LT Pro" w:eastAsia="Verdana" w:hAnsi="Avenir Next LT Pro" w:cs="Verdana"/>
          <w:color w:val="000000" w:themeColor="text1"/>
          <w:lang w:val="hr-HR"/>
        </w:rPr>
        <w:t>integriše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8F33B4">
        <w:rPr>
          <w:rFonts w:ascii="Avenir Next LT Pro" w:eastAsia="Verdana" w:hAnsi="Avenir Next LT Pro" w:cs="Verdana"/>
          <w:color w:val="000000" w:themeColor="text1"/>
          <w:lang w:val="hr-HR"/>
        </w:rPr>
        <w:t>u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B32B64" w:rsidRPr="008F33B4">
        <w:rPr>
          <w:rFonts w:ascii="Avenir Next LT Pro" w:eastAsia="Verdana" w:hAnsi="Avenir Next LT Pro" w:cs="Verdana"/>
          <w:color w:val="000000" w:themeColor="text1"/>
          <w:lang w:val="hr-HR"/>
        </w:rPr>
        <w:t>op</w:t>
      </w:r>
      <w:r w:rsidR="00415188">
        <w:rPr>
          <w:rFonts w:ascii="Avenir Next LT Pro" w:eastAsia="Verdana" w:hAnsi="Avenir Next LT Pro" w:cs="Verdana"/>
          <w:color w:val="000000" w:themeColor="text1"/>
          <w:lang w:val="hr-HR"/>
        </w:rPr>
        <w:t>št</w:t>
      </w:r>
      <w:r w:rsidR="008F33B4">
        <w:rPr>
          <w:rFonts w:ascii="Avenir Next LT Pro" w:eastAsia="Verdana" w:hAnsi="Avenir Next LT Pro" w:cs="Verdana"/>
          <w:color w:val="000000" w:themeColor="text1"/>
          <w:lang w:val="hr-HR"/>
        </w:rPr>
        <w:t>u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415188">
        <w:rPr>
          <w:rFonts w:ascii="Avenir Next LT Pro" w:eastAsia="Verdana" w:hAnsi="Avenir Next LT Pro" w:cs="Verdana"/>
          <w:color w:val="000000" w:themeColor="text1"/>
          <w:lang w:val="hr-HR"/>
        </w:rPr>
        <w:t>efikasnost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c</w:t>
      </w:r>
      <w:r w:rsidR="00B32B64" w:rsidRPr="008F33B4">
        <w:rPr>
          <w:rFonts w:ascii="Avenir Next LT Pro" w:eastAsia="Verdana" w:hAnsi="Avenir Next LT Pro" w:cs="Verdana"/>
          <w:color w:val="000000" w:themeColor="text1"/>
          <w:lang w:val="hr-HR"/>
        </w:rPr>
        <w:t>jelokupne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Initial linije proizvoda, pružajući vremenski </w:t>
      </w:r>
      <w:r w:rsidR="00415188">
        <w:rPr>
          <w:rFonts w:ascii="Avenir Next LT Pro" w:eastAsia="Verdana" w:hAnsi="Avenir Next LT Pro" w:cs="Verdana"/>
          <w:color w:val="000000" w:themeColor="text1"/>
          <w:lang w:val="hr-HR"/>
        </w:rPr>
        <w:t>efikasan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pristup u postizanju vrhunskih rezultata.”</w:t>
      </w:r>
    </w:p>
    <w:p w14:paraId="1D30FDB7" w14:textId="5C9EFCBD" w:rsidR="00480DBA" w:rsidRPr="008F33B4" w:rsidRDefault="00480DBA" w:rsidP="00480DB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353D187D" w14:textId="42FBE7AB" w:rsidR="00B32B64" w:rsidRPr="008F33B4" w:rsidRDefault="00B32B64" w:rsidP="00480DB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Više informacija o našem litij-disilikatu i njegovim srodnim proizvodima potražite na</w:t>
      </w:r>
    </w:p>
    <w:p w14:paraId="22C0B5E7" w14:textId="3BC105AD" w:rsidR="00D16301" w:rsidRPr="008F33B4" w:rsidRDefault="00E629B9" w:rsidP="00D16301">
      <w:pPr>
        <w:spacing w:line="360" w:lineRule="auto"/>
        <w:ind w:left="-990" w:right="-868"/>
        <w:rPr>
          <w:rFonts w:ascii="Avenir Next LT Pro" w:hAnsi="Avenir Next LT Pro"/>
          <w:color w:val="000000" w:themeColor="text1"/>
          <w:u w:color="404040"/>
          <w:lang w:val="hr-HR"/>
        </w:rPr>
      </w:pPr>
      <w:hyperlink r:id="rId7" w:history="1">
        <w:r w:rsidRPr="0026187C">
          <w:rPr>
            <w:rStyle w:val="Hyperlink"/>
            <w:rFonts w:ascii="Avenir Next LT Pro" w:eastAsia="Verdana" w:hAnsi="Avenir Next LT Pro" w:cs="Verdana"/>
            <w:lang w:val="hr-HR"/>
          </w:rPr>
          <w:t>https://www.gc.dental/europe/bs-BA/gccampaign/initiallisifamily</w:t>
        </w:r>
      </w:hyperlink>
      <w:r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 xml:space="preserve"> </w:t>
      </w:r>
      <w:bookmarkStart w:id="0" w:name="_GoBack"/>
      <w:bookmarkEnd w:id="0"/>
    </w:p>
    <w:p w14:paraId="1FF72F03" w14:textId="77777777" w:rsidR="00E629B9" w:rsidRDefault="00E629B9" w:rsidP="00E629B9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GCE EEO - Bosnia and Herzegovina</w:t>
      </w:r>
    </w:p>
    <w:p w14:paraId="68D337B1" w14:textId="77777777" w:rsidR="00E629B9" w:rsidRDefault="00E629B9" w:rsidP="00E629B9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Carice Milice 11</w:t>
      </w:r>
    </w:p>
    <w:p w14:paraId="0A0C6496" w14:textId="77777777" w:rsidR="00E629B9" w:rsidRDefault="00E629B9" w:rsidP="00E629B9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78 000 Banja Luka</w:t>
      </w:r>
    </w:p>
    <w:p w14:paraId="187B7575" w14:textId="77777777" w:rsidR="00E629B9" w:rsidRDefault="00E629B9" w:rsidP="00E629B9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Bosna i Hercegovina</w:t>
      </w:r>
    </w:p>
    <w:p w14:paraId="5355CE5D" w14:textId="77777777" w:rsidR="00E629B9" w:rsidRDefault="00E629B9" w:rsidP="00E629B9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</w:p>
    <w:p w14:paraId="1DDA9CDB" w14:textId="77777777" w:rsidR="00E629B9" w:rsidRDefault="00E629B9" w:rsidP="00E629B9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+387 51 47 07 36</w:t>
      </w:r>
    </w:p>
    <w:p w14:paraId="66C03394" w14:textId="77777777" w:rsidR="00E629B9" w:rsidRDefault="00E629B9" w:rsidP="00E629B9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+387 51 47 07 36</w:t>
      </w:r>
    </w:p>
    <w:p w14:paraId="7687B38B" w14:textId="77777777" w:rsidR="00E629B9" w:rsidRDefault="00E629B9" w:rsidP="00E629B9">
      <w:pPr>
        <w:spacing w:line="276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info.bosniaherzegovina@gc.dental</w:t>
      </w:r>
    </w:p>
    <w:p w14:paraId="4EFFC239" w14:textId="77777777" w:rsidR="00E629B9" w:rsidRDefault="00E629B9" w:rsidP="00E629B9">
      <w:pPr>
        <w:spacing w:line="276" w:lineRule="auto"/>
        <w:ind w:left="-990" w:right="-868"/>
        <w:rPr>
          <w:rFonts w:ascii="Avenir Next LT Pro" w:hAnsi="Avenir Next LT Pro"/>
          <w:spacing w:val="5"/>
          <w:kern w:val="28"/>
          <w:sz w:val="22"/>
          <w:szCs w:val="22"/>
          <w:u w:val="single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bosnia-herz.gceurope.com</w:t>
      </w:r>
    </w:p>
    <w:p w14:paraId="2AEB49FD" w14:textId="77777777" w:rsidR="00A5023C" w:rsidRPr="008F33B4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hr-HR"/>
        </w:rPr>
      </w:pPr>
    </w:p>
    <w:sectPr w:rsidR="00A5023C" w:rsidRPr="008F33B4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A5A1" w14:textId="77777777" w:rsidR="002D3D6E" w:rsidRDefault="002D3D6E">
      <w:r>
        <w:separator/>
      </w:r>
    </w:p>
  </w:endnote>
  <w:endnote w:type="continuationSeparator" w:id="0">
    <w:p w14:paraId="5C35F295" w14:textId="77777777" w:rsidR="002D3D6E" w:rsidRDefault="002D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15D70" w14:textId="77777777" w:rsidR="002D3D6E" w:rsidRDefault="002D3D6E">
      <w:r>
        <w:separator/>
      </w:r>
    </w:p>
  </w:footnote>
  <w:footnote w:type="continuationSeparator" w:id="0">
    <w:p w14:paraId="13AE1D8C" w14:textId="77777777" w:rsidR="002D3D6E" w:rsidRDefault="002D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812E1"/>
    <w:rsid w:val="001B5343"/>
    <w:rsid w:val="001B5373"/>
    <w:rsid w:val="001C1388"/>
    <w:rsid w:val="001E22F1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A53D1"/>
    <w:rsid w:val="002C389F"/>
    <w:rsid w:val="002D3D6E"/>
    <w:rsid w:val="003042DF"/>
    <w:rsid w:val="00312F6E"/>
    <w:rsid w:val="00315091"/>
    <w:rsid w:val="00321DE6"/>
    <w:rsid w:val="0032290E"/>
    <w:rsid w:val="00325206"/>
    <w:rsid w:val="00327168"/>
    <w:rsid w:val="003602A1"/>
    <w:rsid w:val="00390C9F"/>
    <w:rsid w:val="003A434A"/>
    <w:rsid w:val="003B1417"/>
    <w:rsid w:val="003B4C34"/>
    <w:rsid w:val="003C645C"/>
    <w:rsid w:val="003D5E25"/>
    <w:rsid w:val="003F1B6F"/>
    <w:rsid w:val="00412841"/>
    <w:rsid w:val="00415188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0D02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06FAB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B1EB5"/>
    <w:rsid w:val="008D73C8"/>
    <w:rsid w:val="008E1A49"/>
    <w:rsid w:val="008F33B4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B0362E"/>
    <w:rsid w:val="00B04612"/>
    <w:rsid w:val="00B0625B"/>
    <w:rsid w:val="00B113EF"/>
    <w:rsid w:val="00B1164E"/>
    <w:rsid w:val="00B20BBD"/>
    <w:rsid w:val="00B20FF6"/>
    <w:rsid w:val="00B32B64"/>
    <w:rsid w:val="00B449F7"/>
    <w:rsid w:val="00B80A18"/>
    <w:rsid w:val="00B85591"/>
    <w:rsid w:val="00BB5D11"/>
    <w:rsid w:val="00BD25AB"/>
    <w:rsid w:val="00BD4617"/>
    <w:rsid w:val="00BE1580"/>
    <w:rsid w:val="00BE5C2D"/>
    <w:rsid w:val="00C12E8E"/>
    <w:rsid w:val="00C2221D"/>
    <w:rsid w:val="00C60B64"/>
    <w:rsid w:val="00CA5DBB"/>
    <w:rsid w:val="00CC6660"/>
    <w:rsid w:val="00D16301"/>
    <w:rsid w:val="00D21359"/>
    <w:rsid w:val="00D33936"/>
    <w:rsid w:val="00DB50BD"/>
    <w:rsid w:val="00DC1238"/>
    <w:rsid w:val="00DD11C7"/>
    <w:rsid w:val="00DD4ADD"/>
    <w:rsid w:val="00DF3946"/>
    <w:rsid w:val="00E00439"/>
    <w:rsid w:val="00E07420"/>
    <w:rsid w:val="00E23C42"/>
    <w:rsid w:val="00E244AA"/>
    <w:rsid w:val="00E26DFB"/>
    <w:rsid w:val="00E34C95"/>
    <w:rsid w:val="00E37A44"/>
    <w:rsid w:val="00E561B3"/>
    <w:rsid w:val="00E60E82"/>
    <w:rsid w:val="00E62825"/>
    <w:rsid w:val="00E629B9"/>
    <w:rsid w:val="00E675E8"/>
    <w:rsid w:val="00E767CA"/>
    <w:rsid w:val="00E833B6"/>
    <w:rsid w:val="00EA4468"/>
    <w:rsid w:val="00ED2B9D"/>
    <w:rsid w:val="00ED59B2"/>
    <w:rsid w:val="00EE790F"/>
    <w:rsid w:val="00F069AD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c.dental/europe/bs-BA/gccampaign/initiallisifam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4</cp:revision>
  <cp:lastPrinted>2020-01-21T15:04:00Z</cp:lastPrinted>
  <dcterms:created xsi:type="dcterms:W3CDTF">2023-12-08T15:10:00Z</dcterms:created>
  <dcterms:modified xsi:type="dcterms:W3CDTF">2024-01-02T09:51:00Z</dcterms:modified>
</cp:coreProperties>
</file>