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E81A7AE" w:rsidR="004C48D0" w:rsidRPr="008F33B4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hr-HR"/>
        </w:rPr>
      </w:pPr>
      <w:r w:rsidRPr="008F33B4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EC7BC0">
        <w:rPr>
          <w:rFonts w:ascii="Avenir Next LT Pro" w:hAnsi="Avenir Next LT Pro"/>
          <w:b/>
          <w:bCs/>
          <w:color w:val="000000" w:themeColor="text1"/>
          <w:sz w:val="30"/>
          <w:szCs w:val="30"/>
          <w:lang w:val="hr-HR"/>
        </w:rPr>
        <w:t>Saopštenje</w:t>
      </w:r>
      <w:r w:rsidR="002A53D1" w:rsidRPr="008F33B4">
        <w:rPr>
          <w:rFonts w:ascii="Avenir Next LT Pro" w:hAnsi="Avenir Next LT Pro"/>
          <w:b/>
          <w:bCs/>
          <w:color w:val="000000" w:themeColor="text1"/>
          <w:sz w:val="30"/>
          <w:szCs w:val="30"/>
          <w:lang w:val="hr-HR"/>
        </w:rPr>
        <w:t xml:space="preserve"> za </w:t>
      </w:r>
      <w:r w:rsidR="00EC7BC0">
        <w:rPr>
          <w:rFonts w:ascii="Avenir Next LT Pro" w:hAnsi="Avenir Next LT Pro"/>
          <w:b/>
          <w:bCs/>
          <w:color w:val="000000" w:themeColor="text1"/>
          <w:sz w:val="30"/>
          <w:szCs w:val="30"/>
          <w:lang w:val="hr-HR"/>
        </w:rPr>
        <w:t>javnost</w:t>
      </w:r>
    </w:p>
    <w:p w14:paraId="0C69B5D1" w14:textId="77777777" w:rsidR="00270FCD" w:rsidRPr="008F33B4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5643A72F" w14:textId="71A0BD1C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  <w:t>Umeće timskog rada</w:t>
      </w:r>
    </w:p>
    <w:p w14:paraId="7C7189D7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2AC20028" w14:textId="6CA49C15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>GC jača dentalne stručnjake naj</w:t>
      </w:r>
      <w:r w:rsidR="00EC7BC0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>savremenijim</w:t>
      </w:r>
      <w:r w:rsidRPr="008F33B4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 xml:space="preserve"> litij</w:t>
      </w:r>
      <w:r w:rsidR="00EC7BC0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>um</w:t>
      </w:r>
      <w:r w:rsidRPr="008F33B4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>-disilikatnim proizvodima</w:t>
      </w:r>
    </w:p>
    <w:p w14:paraId="6F8CCC87" w14:textId="0204D0A3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“Radeći zajedno i s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dobrim proizvodima, može se postići više.”</w:t>
      </w:r>
    </w:p>
    <w:p w14:paraId="078F5A9F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219437BE" w14:textId="4D0ECFBC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To je načelo najnovije </w:t>
      </w:r>
      <w:r w:rsidR="008B1EB5">
        <w:rPr>
          <w:rFonts w:ascii="Avenir Next LT Pro" w:eastAsia="Verdana" w:hAnsi="Avenir Next LT Pro" w:cs="Verdana"/>
          <w:color w:val="000000" w:themeColor="text1"/>
          <w:lang w:val="hr-HR"/>
        </w:rPr>
        <w:t xml:space="preserve">GC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kampanje, koja ističe sinergiju između Initial litij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um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-disilikatnih proizvoda (Initial LiSi), namijenjenih za izradu restauracija najvišeg standarda.</w:t>
      </w:r>
    </w:p>
    <w:p w14:paraId="4E2B2D6B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74FFFD4D" w14:textId="5936C42F" w:rsidR="00076EC4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Initial LiSi Press i Initial LiSi Block, poznati po svo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m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izv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rsno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 xml:space="preserve">m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kvaliteti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u i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profinjenoj strukturi, zajedno s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poboljšanim rešenjima za mikroslojevanje i cementiranje, čine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široki asortiman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za postizanje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izvrsnih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,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vrhunsko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estetskih i preciznih zubnih nado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knada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na vremenski 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efikasan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način.</w:t>
      </w:r>
    </w:p>
    <w:p w14:paraId="331D3D30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7E99F73C" w14:textId="185D49ED" w:rsidR="001812E1" w:rsidRPr="008F33B4" w:rsidRDefault="001812E1" w:rsidP="001E22F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Initial LiSi je postao sinonim za estetsku izvrsnost, snagu i trajnost u svetu dentalne tehnologije. Profinjena, homogena struktura litij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um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-disilikata ne samo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što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pruža izvrsni estetski rezultat, već i naglašava praktične prednosti, kao što je lakoća poliranja i postizanje t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čnih, glatkih i stabilnih rubova. Kontinuirano proširenje asortimana CAD/CAM direktnih materijala – u kombinaciji s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GC rešenjima za karakterizaciju i cementiranje – stvara sve veću svest dentalnih tehničara i 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stomatologa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o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izrazito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velikom potencijalu Initial LiSi linije proizvoda.</w:t>
      </w:r>
    </w:p>
    <w:p w14:paraId="241F4F10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3C62F3FC" w14:textId="2C43E93A" w:rsidR="001812E1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"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Naši proizvodi i rešenja i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zraz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su naše</w:t>
      </w:r>
      <w:r w:rsidR="00F069AD">
        <w:rPr>
          <w:rFonts w:ascii="Avenir Next LT Pro" w:eastAsia="Verdana" w:hAnsi="Avenir Next LT Pro" w:cs="Verdana"/>
          <w:color w:val="000000" w:themeColor="text1"/>
          <w:lang w:val="hr-HR"/>
        </w:rPr>
        <w:t>g entuzijazma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za unapređenjem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brige o zubima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," kaže Laetitia Lavoix, generalna direktor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ka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marketinga u GC Europe. "Verujemo u kvalitetnu estetsku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dentalnu medicinu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. Sinergija unutar Initial LiSi linije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proizvoda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 njenih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lastRenderedPageBreak/>
        <w:t>srodnih proizvoda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, pruža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dentalnim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stručnjacima visoko 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efikasne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materijale za izradu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vrhunskih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restauracija uz najmanje napora."</w:t>
      </w:r>
    </w:p>
    <w:p w14:paraId="1D876721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18DF79E7" w14:textId="106BC394" w:rsidR="001E22F1" w:rsidRPr="008F33B4" w:rsidRDefault="001E22F1" w:rsidP="00EE790F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"Umeće timskog rada" više je od kampanje; to je proslava s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radnje i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preciznosti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u svetu dentalne medicine,” dodao je Diederik Hellingh, vo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 xml:space="preserve">đa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poslovne jedinice Laboratori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 protetika. “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Stomatolozi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 tehničari mogu stvoriti remek-dela komb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inujući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najbolje materijale, tehnologiju, radne postupke i stručnost. Iskorištavanjem potencijala s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radnje Initial LiSi proizvoda i Initial IQ ONE SQIN, razvija se snažna sinergija. Ova strategija ne samo da je usklađena s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težnjom za ispunjavanjem najviših estetskih standarda, već se i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savršeno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integr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iše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u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B32B64" w:rsidRPr="008F33B4">
        <w:rPr>
          <w:rFonts w:ascii="Avenir Next LT Pro" w:eastAsia="Verdana" w:hAnsi="Avenir Next LT Pro" w:cs="Verdana"/>
          <w:color w:val="000000" w:themeColor="text1"/>
          <w:lang w:val="hr-HR"/>
        </w:rPr>
        <w:t>op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štu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efikasnost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c</w:t>
      </w:r>
      <w:r w:rsidR="00B32B64" w:rsidRPr="008F33B4">
        <w:rPr>
          <w:rFonts w:ascii="Avenir Next LT Pro" w:eastAsia="Verdana" w:hAnsi="Avenir Next LT Pro" w:cs="Verdana"/>
          <w:color w:val="000000" w:themeColor="text1"/>
          <w:lang w:val="hr-HR"/>
        </w:rPr>
        <w:t>elokupne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Initial linije proizvoda, pružajući vremenski 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efikasan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pristup u postizanju vrhunskih rezultata.”</w:t>
      </w:r>
    </w:p>
    <w:p w14:paraId="1D30FDB7" w14:textId="5C9EFCBD" w:rsidR="00480DBA" w:rsidRPr="008F33B4" w:rsidRDefault="00480DBA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353D187D" w14:textId="189207F8" w:rsidR="00B32B64" w:rsidRPr="008F33B4" w:rsidRDefault="00B32B64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Više informacija o našem litij</w:t>
      </w:r>
      <w:r w:rsidR="00EC7BC0">
        <w:rPr>
          <w:rFonts w:ascii="Avenir Next LT Pro" w:eastAsia="Verdana" w:hAnsi="Avenir Next LT Pro" w:cs="Verdana"/>
          <w:color w:val="000000" w:themeColor="text1"/>
          <w:lang w:val="hr-HR"/>
        </w:rPr>
        <w:t>um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-disilikatu i njegovim srodnim proizvodima potražite na</w:t>
      </w:r>
    </w:p>
    <w:p w14:paraId="22C0B5E7" w14:textId="56757FF7" w:rsidR="00D16301" w:rsidRDefault="00C6087D" w:rsidP="00D1630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  <w:hyperlink r:id="rId7" w:history="1">
        <w:r w:rsidRPr="00DA14CE">
          <w:rPr>
            <w:rStyle w:val="Hyperlink"/>
            <w:rFonts w:ascii="Avenir Next LT Pro" w:eastAsia="Verdana" w:hAnsi="Avenir Next LT Pro" w:cs="Verdana"/>
            <w:lang w:val="hr-HR"/>
          </w:rPr>
          <w:t>https://www.gc.dental/europe/sr-RS/gccampaign/initiallisifamily</w:t>
        </w:r>
      </w:hyperlink>
      <w:r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  <w:t xml:space="preserve"> </w:t>
      </w:r>
    </w:p>
    <w:p w14:paraId="74BB0297" w14:textId="77777777" w:rsidR="00C6087D" w:rsidRPr="008F33B4" w:rsidRDefault="00C6087D" w:rsidP="00D16301">
      <w:pPr>
        <w:spacing w:line="360" w:lineRule="auto"/>
        <w:ind w:left="-990" w:right="-868"/>
        <w:rPr>
          <w:rFonts w:ascii="Avenir Next LT Pro" w:hAnsi="Avenir Next LT Pro"/>
          <w:color w:val="000000" w:themeColor="text1"/>
          <w:u w:color="404040"/>
          <w:lang w:val="hr-HR"/>
        </w:rPr>
      </w:pPr>
      <w:bookmarkStart w:id="0" w:name="_GoBack"/>
      <w:bookmarkEnd w:id="0"/>
    </w:p>
    <w:p w14:paraId="22F58F21" w14:textId="77777777" w:rsidR="00C6087D" w:rsidRPr="00C6087D" w:rsidRDefault="00C6087D" w:rsidP="00C6087D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</w:pPr>
      <w:bookmarkStart w:id="1" w:name="_Hlk155085847"/>
      <w:r w:rsidRPr="00C6087D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  <w:t>GC EUROPE N.V. - East European Office</w:t>
      </w:r>
    </w:p>
    <w:p w14:paraId="4180A55A" w14:textId="77777777" w:rsidR="00C6087D" w:rsidRPr="00C6087D" w:rsidRDefault="00C6087D" w:rsidP="00C6087D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</w:pPr>
      <w:r w:rsidRPr="00C6087D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  <w:t>Siget 19B</w:t>
      </w:r>
    </w:p>
    <w:p w14:paraId="7F5448A8" w14:textId="77777777" w:rsidR="00C6087D" w:rsidRPr="00C6087D" w:rsidRDefault="00C6087D" w:rsidP="00C6087D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</w:pPr>
      <w:r w:rsidRPr="00C6087D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  <w:t>10020 Zagreb</w:t>
      </w:r>
    </w:p>
    <w:p w14:paraId="5F744280" w14:textId="77777777" w:rsidR="00C6087D" w:rsidRPr="00C6087D" w:rsidRDefault="00C6087D" w:rsidP="00C6087D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</w:pPr>
      <w:r w:rsidRPr="00C6087D">
        <w:rPr>
          <w:rFonts w:ascii="Calibri" w:hAnsi="Calibri" w:cs="Calibri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  <w:t>Хрватска</w:t>
      </w:r>
    </w:p>
    <w:p w14:paraId="0A2810E1" w14:textId="77777777" w:rsidR="00C6087D" w:rsidRPr="00C6087D" w:rsidRDefault="00C6087D" w:rsidP="00C6087D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</w:pPr>
    </w:p>
    <w:p w14:paraId="3E1C3C30" w14:textId="77777777" w:rsidR="00C6087D" w:rsidRPr="00C6087D" w:rsidRDefault="00C6087D" w:rsidP="00C6087D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</w:pPr>
      <w:r w:rsidRPr="00C6087D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  <w:t>+385 1 467 84 74</w:t>
      </w:r>
    </w:p>
    <w:p w14:paraId="5C3DDCF8" w14:textId="77777777" w:rsidR="00C6087D" w:rsidRPr="00C6087D" w:rsidRDefault="00C6087D" w:rsidP="00C6087D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</w:pPr>
      <w:r w:rsidRPr="00C6087D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  <w:t>+385 1 467 84 73</w:t>
      </w:r>
    </w:p>
    <w:p w14:paraId="4C5306A3" w14:textId="77777777" w:rsidR="00C6087D" w:rsidRPr="00C6087D" w:rsidRDefault="00C6087D" w:rsidP="00C6087D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</w:pPr>
      <w:r w:rsidRPr="00C6087D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  <w:t>info.eeo@gc.dental</w:t>
      </w:r>
    </w:p>
    <w:p w14:paraId="2AEB49FD" w14:textId="28326E50" w:rsidR="00A5023C" w:rsidRPr="008F33B4" w:rsidRDefault="00C6087D" w:rsidP="00C6087D">
      <w:pPr>
        <w:pStyle w:val="NormalWeb"/>
        <w:spacing w:before="0" w:after="0" w:line="276" w:lineRule="auto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hr-HR"/>
        </w:rPr>
      </w:pPr>
      <w:r w:rsidRPr="00C6087D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hr-HR"/>
        </w:rPr>
        <w:t>eeo.gceurope.com</w:t>
      </w:r>
      <w:bookmarkEnd w:id="1"/>
    </w:p>
    <w:sectPr w:rsidR="00A5023C" w:rsidRPr="008F33B4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F38E" w14:textId="77777777" w:rsidR="001543FB" w:rsidRDefault="001543FB">
      <w:r>
        <w:separator/>
      </w:r>
    </w:p>
  </w:endnote>
  <w:endnote w:type="continuationSeparator" w:id="0">
    <w:p w14:paraId="2D7B1FE6" w14:textId="77777777" w:rsidR="001543FB" w:rsidRDefault="0015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9E5E" w14:textId="77777777" w:rsidR="001543FB" w:rsidRDefault="001543FB">
      <w:r>
        <w:separator/>
      </w:r>
    </w:p>
  </w:footnote>
  <w:footnote w:type="continuationSeparator" w:id="0">
    <w:p w14:paraId="00F54582" w14:textId="77777777" w:rsidR="001543FB" w:rsidRDefault="0015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543FB"/>
    <w:rsid w:val="0016511A"/>
    <w:rsid w:val="00167D45"/>
    <w:rsid w:val="00176AEF"/>
    <w:rsid w:val="001812E1"/>
    <w:rsid w:val="001B5343"/>
    <w:rsid w:val="001B5373"/>
    <w:rsid w:val="001C1388"/>
    <w:rsid w:val="001E22F1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A53D1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C0D02"/>
    <w:rsid w:val="004C3D5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06FAB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B1EB5"/>
    <w:rsid w:val="008D73C8"/>
    <w:rsid w:val="008E1A49"/>
    <w:rsid w:val="008F33B4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32B64"/>
    <w:rsid w:val="00B449F7"/>
    <w:rsid w:val="00B80A18"/>
    <w:rsid w:val="00B85591"/>
    <w:rsid w:val="00BB5D11"/>
    <w:rsid w:val="00BD25AB"/>
    <w:rsid w:val="00BD4617"/>
    <w:rsid w:val="00BE1580"/>
    <w:rsid w:val="00BE5C2D"/>
    <w:rsid w:val="00C12E8E"/>
    <w:rsid w:val="00C2221D"/>
    <w:rsid w:val="00C6087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44AA"/>
    <w:rsid w:val="00E26DFB"/>
    <w:rsid w:val="00E34C95"/>
    <w:rsid w:val="00E37A44"/>
    <w:rsid w:val="00E561B3"/>
    <w:rsid w:val="00E60E82"/>
    <w:rsid w:val="00E62825"/>
    <w:rsid w:val="00E675E8"/>
    <w:rsid w:val="00E767CA"/>
    <w:rsid w:val="00E833B6"/>
    <w:rsid w:val="00EA4468"/>
    <w:rsid w:val="00EC7BC0"/>
    <w:rsid w:val="00ED2B9D"/>
    <w:rsid w:val="00ED59B2"/>
    <w:rsid w:val="00EE790F"/>
    <w:rsid w:val="00F069AD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4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sr-RS/gccampaign/initiallisi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2023-12-11T12:02:00Z</dcterms:created>
  <dcterms:modified xsi:type="dcterms:W3CDTF">2024-01-02T10:05:00Z</dcterms:modified>
</cp:coreProperties>
</file>