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EB23C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463949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EB23C2">
        <w:rPr>
          <w:rFonts w:ascii="Avenir Next LT Pro" w:hAnsi="Avenir Next LT Pro"/>
          <w:b/>
          <w:bCs/>
          <w:color w:val="000000" w:themeColor="text1"/>
          <w:sz w:val="30"/>
          <w:szCs w:val="30"/>
          <w:lang w:val="it-IT"/>
        </w:rPr>
        <w:t>Press release</w:t>
      </w:r>
    </w:p>
    <w:p w14:paraId="0C69B5D1" w14:textId="77777777" w:rsidR="00270FCD" w:rsidRPr="00EB23C2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72415FD8" w14:textId="4B7D1ED3" w:rsidR="007847F0" w:rsidRPr="00EB23C2" w:rsidRDefault="001100DB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  <w:r w:rsidRPr="00EB23C2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I flussi di lavoro per le corone estetiche</w:t>
      </w:r>
      <w:r w:rsidR="00BB3DE5" w:rsidRPr="00EB23C2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 xml:space="preserve">: </w:t>
      </w:r>
      <w:r w:rsidR="00EB23C2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s</w:t>
      </w:r>
      <w:r w:rsidR="00EB23C2" w:rsidRPr="00EB23C2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olide soluzioni per denti belli</w:t>
      </w:r>
    </w:p>
    <w:p w14:paraId="5106CFB0" w14:textId="77777777" w:rsidR="007847F0" w:rsidRPr="00EB23C2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319C9EAE" w14:textId="3512499C" w:rsidR="00B90E66" w:rsidRPr="006F1270" w:rsidRDefault="006F1270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</w:pPr>
      <w:r w:rsidRPr="006F1270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Decodifica di tutte le ceramiche: guida di GC alla scelta dell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a giusta </w:t>
      </w:r>
      <w:r w:rsidRPr="006F1270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opzione </w:t>
      </w:r>
    </w:p>
    <w:p w14:paraId="60804184" w14:textId="77777777" w:rsidR="00B90E66" w:rsidRPr="006F1270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5823DEE6" w14:textId="468B3F42" w:rsidR="006E1865" w:rsidRPr="00E802FA" w:rsidRDefault="00E802FA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it-IT"/>
        </w:rPr>
      </w:pPr>
      <w:r w:rsidRPr="00E802FA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it-IT"/>
        </w:rPr>
        <w:t>Le corone dentali sono il tipo più comune di restauri indiretti e sono utilizzate per ripristinare la forma e la funzione di un dente, o per coprire e proteggere un dente indebolito. Sono particolarmente efficaci per denti gravemente danneggiati che non possono essere adeguatamente restaurati in modo diretto.</w:t>
      </w:r>
    </w:p>
    <w:p w14:paraId="2ABEEFF7" w14:textId="77777777" w:rsidR="00AE5917" w:rsidRPr="00E802FA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it-IT"/>
        </w:rPr>
      </w:pPr>
    </w:p>
    <w:p w14:paraId="3259D58E" w14:textId="43255F15" w:rsidR="0066182F" w:rsidRPr="00114580" w:rsidRDefault="00D9317D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</w:pPr>
      <w:r w:rsidRPr="00D9317D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>Con le crescenti esigenze estetiche, le corone interamente in ceramica sono diventate popolari</w:t>
      </w:r>
      <w:r w:rsidR="00070ECB" w:rsidRPr="00D9317D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. </w:t>
      </w:r>
      <w:r w:rsidR="00114580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Oggi il </w:t>
      </w:r>
      <w:proofErr w:type="spellStart"/>
      <w:r w:rsidR="00114580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>disilicato</w:t>
      </w:r>
      <w:proofErr w:type="spellEnd"/>
      <w:r w:rsidR="00114580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 di litio e la </w:t>
      </w:r>
      <w:proofErr w:type="spellStart"/>
      <w:r w:rsidR="00114580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>zirconia</w:t>
      </w:r>
      <w:proofErr w:type="spellEnd"/>
      <w:r w:rsidR="00114580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 sono le alternative ceramiche preferite alla metallo</w:t>
      </w:r>
      <w:r w:rsid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>-ceramica</w:t>
      </w:r>
      <w:r w:rsidR="00114580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 per le corone singole. I dentisti considerano entrambi i materiali in base alle esigenze specifiche di ciascun caso, poiché le loro proprietà e indicazioni spesso si sovrappongono</w:t>
      </w:r>
      <w:r w:rsidR="00070ECB" w:rsidRPr="00114580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>.</w:t>
      </w:r>
    </w:p>
    <w:p w14:paraId="6883E65D" w14:textId="77777777" w:rsidR="00AE5917" w:rsidRPr="00114580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</w:pPr>
    </w:p>
    <w:p w14:paraId="2F5116C9" w14:textId="147B79CF" w:rsidR="0066182F" w:rsidRPr="00E0126C" w:rsidRDefault="00F97C1F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</w:pPr>
      <w:r w:rsidRPr="00F97C1F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Per semplificare il processo di selezione, GC ha sviluppato flussi di lavoro per creare chiarezza nei materiali interamente ceramici e nelle loro proprietà, dalla selezione del trattamento al posizionamento. </w:t>
      </w:r>
      <w:r w:rsidR="00E0126C" w:rsidRP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 xml:space="preserve">Sono state affrontate domande frequenti relative alle differenze tra i tipi di </w:t>
      </w:r>
      <w:proofErr w:type="spellStart"/>
      <w:r w:rsidR="00E0126C" w:rsidRP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>zirconi</w:t>
      </w:r>
      <w:r w:rsid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>a</w:t>
      </w:r>
      <w:proofErr w:type="spellEnd"/>
      <w:r w:rsidR="00E0126C" w:rsidRP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 xml:space="preserve"> e </w:t>
      </w:r>
      <w:proofErr w:type="spellStart"/>
      <w:r w:rsidR="00E0126C" w:rsidRP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>disilicato</w:t>
      </w:r>
      <w:proofErr w:type="spellEnd"/>
      <w:r w:rsidR="00E0126C" w:rsidRP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 xml:space="preserve"> di litio, ai loro rispettivi requisiti, alle opzioni di caratterizzazione e ai pretrattamenti.</w:t>
      </w:r>
    </w:p>
    <w:p w14:paraId="732AF538" w14:textId="749851BF" w:rsidR="006E1865" w:rsidRPr="00E0126C" w:rsidRDefault="00E0126C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</w:pPr>
      <w:r w:rsidRPr="00E0126C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it-IT"/>
        </w:rPr>
        <w:t>Questa chiarezza garantisce le migliori pratiche e consente ai professionisti di prendere decisioni di trattamento informate per ottenere risultati ottimali per il paziente.</w:t>
      </w:r>
    </w:p>
    <w:p w14:paraId="154F78CA" w14:textId="77777777" w:rsidR="00AE5917" w:rsidRPr="00E0126C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</w:pPr>
    </w:p>
    <w:p w14:paraId="2B7B7018" w14:textId="77777777" w:rsidR="005811CA" w:rsidRDefault="00E0126C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</w:pPr>
      <w:r w:rsidRPr="00E0126C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 xml:space="preserve">Per maggiori informazioni sulle corone singole estetiche, o per saperne di più sulla gamma di prodotti GC per questo tipo di restauri, visita </w:t>
      </w:r>
      <w:r w:rsidR="005811CA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it-IT"/>
        </w:rPr>
        <w:tab/>
      </w:r>
    </w:p>
    <w:p w14:paraId="520E531D" w14:textId="2CCC3575" w:rsidR="006E1865" w:rsidRPr="00E0126C" w:rsidRDefault="002F2A1A" w:rsidP="006E1865">
      <w:pPr>
        <w:spacing w:line="360" w:lineRule="auto"/>
        <w:ind w:left="-990"/>
        <w:jc w:val="both"/>
        <w:rPr>
          <w:rFonts w:ascii="Avenir Next LT Pro" w:hAnsi="Avenir Next LT Pro"/>
          <w:sz w:val="20"/>
          <w:szCs w:val="20"/>
          <w:lang w:val="it-IT"/>
        </w:rPr>
      </w:pPr>
      <w:hyperlink r:id="rId7" w:history="1">
        <w:r w:rsidR="005811CA" w:rsidRPr="00BB730B">
          <w:rPr>
            <w:rStyle w:val="Hyperlink"/>
            <w:rFonts w:ascii="Avenir Next LT Pro" w:hAnsi="Avenir Next LT Pro"/>
            <w:sz w:val="20"/>
            <w:szCs w:val="20"/>
            <w:lang w:val="it-IT"/>
          </w:rPr>
          <w:t>https://campaigns-gceurope.com/crownworkflow/</w:t>
        </w:r>
      </w:hyperlink>
      <w:r w:rsidR="00F7065B" w:rsidRPr="00E0126C">
        <w:rPr>
          <w:rFonts w:ascii="Avenir Next LT Pro" w:hAnsi="Avenir Next LT Pro"/>
          <w:sz w:val="20"/>
          <w:szCs w:val="20"/>
          <w:lang w:val="it-IT"/>
        </w:rPr>
        <w:t xml:space="preserve"> </w:t>
      </w:r>
    </w:p>
    <w:p w14:paraId="7B8F45D0" w14:textId="77777777" w:rsidR="00375891" w:rsidRPr="00E0126C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27294F5D" w14:textId="77777777" w:rsidR="002F2A1A" w:rsidRPr="002F2A1A" w:rsidRDefault="002F2A1A" w:rsidP="002F2A1A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bookmarkStart w:id="0" w:name="_GoBack"/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lastRenderedPageBreak/>
        <w:t>GC ITALIA S.r.l.</w:t>
      </w:r>
    </w:p>
    <w:p w14:paraId="76D65B0E" w14:textId="77777777" w:rsidR="002F2A1A" w:rsidRPr="002F2A1A" w:rsidRDefault="002F2A1A" w:rsidP="002F2A1A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187011BD" w14:textId="77777777" w:rsidR="002F2A1A" w:rsidRPr="002F2A1A" w:rsidRDefault="002F2A1A" w:rsidP="002F2A1A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0DD65F74" w14:textId="055604F6" w:rsidR="002F2A1A" w:rsidRPr="002F2A1A" w:rsidRDefault="002F2A1A" w:rsidP="002F2A1A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Italia</w:t>
      </w:r>
      <w:r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br/>
      </w: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+39 02 98 28 20 68</w:t>
      </w:r>
      <w:r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br/>
      </w:r>
      <w:proofErr w:type="spellStart"/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bookmarkEnd w:id="0"/>
    <w:p w14:paraId="2AEB49FD" w14:textId="74189D69" w:rsidR="00A5023C" w:rsidRPr="002F2A1A" w:rsidRDefault="002F2A1A" w:rsidP="002F2A1A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www.gc.dental/europe/it-IT</w:t>
      </w:r>
      <w:r w:rsidR="00F7065B">
        <w:rPr>
          <w:rStyle w:val="Hyperlink"/>
          <w:rFonts w:ascii="Avenir Next LT Pro" w:hAnsi="Avenir Next LT Pro"/>
          <w:noProof/>
          <w:color w:val="auto"/>
          <w:spacing w:val="5"/>
          <w:kern w:val="28"/>
          <w:sz w:val="22"/>
          <w:szCs w:val="22"/>
          <w:lang w:val="fr-FR"/>
        </w:rPr>
        <w:drawing>
          <wp:inline distT="0" distB="0" distL="0" distR="0" wp14:anchorId="4FA2156E" wp14:editId="07587E13">
            <wp:extent cx="2408379" cy="3402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88" cy="34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23C" w:rsidRPr="002F2A1A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907E" w14:textId="77777777" w:rsidR="004651BB" w:rsidRDefault="004651BB">
      <w:r>
        <w:separator/>
      </w:r>
    </w:p>
  </w:endnote>
  <w:endnote w:type="continuationSeparator" w:id="0">
    <w:p w14:paraId="3958C780" w14:textId="77777777" w:rsidR="004651BB" w:rsidRDefault="0046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8065A" w14:textId="77777777" w:rsidR="004651BB" w:rsidRDefault="004651BB">
      <w:r>
        <w:separator/>
      </w:r>
    </w:p>
  </w:footnote>
  <w:footnote w:type="continuationSeparator" w:id="0">
    <w:p w14:paraId="651E124C" w14:textId="77777777" w:rsidR="004651BB" w:rsidRDefault="0046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00DB"/>
    <w:rsid w:val="00112618"/>
    <w:rsid w:val="00114580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1E63CB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389F"/>
    <w:rsid w:val="002D178F"/>
    <w:rsid w:val="002F2A1A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4F2C76"/>
    <w:rsid w:val="00502C6F"/>
    <w:rsid w:val="0052480D"/>
    <w:rsid w:val="00552262"/>
    <w:rsid w:val="00552443"/>
    <w:rsid w:val="00567F3E"/>
    <w:rsid w:val="00572892"/>
    <w:rsid w:val="005811CA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6182F"/>
    <w:rsid w:val="00671E66"/>
    <w:rsid w:val="00681CE3"/>
    <w:rsid w:val="006822E2"/>
    <w:rsid w:val="006B1315"/>
    <w:rsid w:val="006C68FF"/>
    <w:rsid w:val="006D0C1F"/>
    <w:rsid w:val="006E1865"/>
    <w:rsid w:val="006F1270"/>
    <w:rsid w:val="0070518E"/>
    <w:rsid w:val="0072441C"/>
    <w:rsid w:val="00737C03"/>
    <w:rsid w:val="00775ABD"/>
    <w:rsid w:val="00776B7A"/>
    <w:rsid w:val="00776E54"/>
    <w:rsid w:val="00781EA5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3DE5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003A7"/>
    <w:rsid w:val="00D16301"/>
    <w:rsid w:val="00D21359"/>
    <w:rsid w:val="00D33936"/>
    <w:rsid w:val="00D9317D"/>
    <w:rsid w:val="00DB38CE"/>
    <w:rsid w:val="00DB50BD"/>
    <w:rsid w:val="00DC1238"/>
    <w:rsid w:val="00DD11C7"/>
    <w:rsid w:val="00DD4ADD"/>
    <w:rsid w:val="00DF3946"/>
    <w:rsid w:val="00E00439"/>
    <w:rsid w:val="00E0126C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02FA"/>
    <w:rsid w:val="00E833B6"/>
    <w:rsid w:val="00EA2203"/>
    <w:rsid w:val="00EA4468"/>
    <w:rsid w:val="00EB23C2"/>
    <w:rsid w:val="00ED2B9D"/>
    <w:rsid w:val="00ED59B2"/>
    <w:rsid w:val="00EE790F"/>
    <w:rsid w:val="00F5342D"/>
    <w:rsid w:val="00F7065B"/>
    <w:rsid w:val="00F966A1"/>
    <w:rsid w:val="00F97C1F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4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59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ampaigns-gceurope.com/crownworkfl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12</cp:revision>
  <cp:lastPrinted>2020-01-21T15:04:00Z</cp:lastPrinted>
  <dcterms:created xsi:type="dcterms:W3CDTF">2024-06-13T12:39:00Z</dcterms:created>
  <dcterms:modified xsi:type="dcterms:W3CDTF">2024-06-14T11:03:00Z</dcterms:modified>
</cp:coreProperties>
</file>