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816764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A771C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816764">
        <w:rPr>
          <w:rFonts w:ascii="Avenir Next LT Pro" w:hAnsi="Avenir Next LT Pro"/>
          <w:b/>
          <w:bCs/>
          <w:color w:val="000000" w:themeColor="text1"/>
          <w:sz w:val="30"/>
          <w:szCs w:val="30"/>
          <w:lang w:val="fr-FR"/>
        </w:rPr>
        <w:t>Press</w:t>
      </w:r>
      <w:proofErr w:type="spellEnd"/>
      <w:r w:rsidR="00A304BF" w:rsidRPr="00816764">
        <w:rPr>
          <w:rFonts w:ascii="Avenir Next LT Pro" w:hAnsi="Avenir Next LT Pro"/>
          <w:b/>
          <w:bCs/>
          <w:color w:val="000000" w:themeColor="text1"/>
          <w:sz w:val="30"/>
          <w:szCs w:val="30"/>
          <w:lang w:val="fr-FR"/>
        </w:rPr>
        <w:t xml:space="preserve"> release</w:t>
      </w:r>
    </w:p>
    <w:p w14:paraId="0C69B5D1" w14:textId="77777777" w:rsidR="00270FCD" w:rsidRPr="00816764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</w:p>
    <w:p w14:paraId="0C48DF65" w14:textId="7FA97C8C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  <w:t>Concours d'excellence académique GC 2025</w:t>
      </w:r>
    </w:p>
    <w:p w14:paraId="62AEEC6C" w14:textId="7777777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</w:pPr>
    </w:p>
    <w:p w14:paraId="4F726481" w14:textId="310ACD42" w:rsidR="00C436B7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</w:pPr>
      <w:r w:rsidRPr="005C36C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fr-FR"/>
        </w:rPr>
        <w:t>Le concours d'excellence académique GC invite les étudiants en médecine dentaire à mettre en valeur leurs compétences en matière de restauration.</w:t>
      </w:r>
    </w:p>
    <w:p w14:paraId="32CD8C10" w14:textId="77777777" w:rsidR="005C36C8" w:rsidRPr="00816764" w:rsidRDefault="005C36C8" w:rsidP="005C36C8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46DA949B" w14:textId="080F5A3C" w:rsidR="005C36C8" w:rsidRPr="005C36C8" w:rsidRDefault="005C36C8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GC Europe est ravi d'annoncer le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lancement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concours GC Academic Excellence Contest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2025, une compétition passionnante conçue pour reconnaître et célébrer le talent des étudiants en médecine dentaire en Europe, au Moyen-Orient et en Afrique du Nord.</w:t>
      </w:r>
    </w:p>
    <w:p w14:paraId="0FDE9675" w14:textId="77777777" w:rsidR="005C36C8" w:rsidRPr="00816764" w:rsidRDefault="005C36C8" w:rsidP="005C36C8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289929FE" w14:textId="7609B7A1" w:rsidR="005C36C8" w:rsidRPr="005C36C8" w:rsidRDefault="005C36C8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Comme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dans l’édition précédente, l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es étudiants seront invités à explorer les </w:t>
      </w:r>
      <w:proofErr w:type="gramStart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possibilités</w:t>
      </w:r>
      <w:proofErr w:type="gramEnd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du G-</w:t>
      </w:r>
      <w:proofErr w:type="spellStart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ænial</w:t>
      </w:r>
      <w:proofErr w:type="spellEnd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Universal Injectable. Ce composite de restauration véritablement universel, avec sa consistance injectable thixotrop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e 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unique, ouvre la voie à des approches entièrement nouvelles en dentisterie restauratrice. Les participants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seront mis au défi de 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tirer pleinement parti de ses propriétés uniques et de sa résistance remarquable. Ce concours ne met donc pas seulement en évidence le potentiel du G-</w:t>
      </w:r>
      <w:proofErr w:type="spellStart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ænial</w:t>
      </w:r>
      <w:proofErr w:type="spellEnd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Universal Injectable, mais offre également aux étudiants une plateforme pour affirmer leur talent sur la scène internationale.</w:t>
      </w:r>
    </w:p>
    <w:p w14:paraId="3474492A" w14:textId="77777777" w:rsidR="005C36C8" w:rsidRPr="00816764" w:rsidRDefault="005C36C8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24B45E97" w14:textId="6B47AA57" w:rsidR="00C436B7" w:rsidRPr="005C36C8" w:rsidRDefault="005C36C8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Les participant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s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auront l'occasion de démontrer leurs compétences dans deux catégories distinctes :</w:t>
      </w:r>
    </w:p>
    <w:p w14:paraId="12243F12" w14:textId="432B40D8" w:rsidR="00C436B7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1E4746A3" w14:textId="77777777" w:rsidR="005C36C8" w:rsidRPr="005C36C8" w:rsidRDefault="005C36C8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694F9911" w14:textId="2F6DA638" w:rsidR="00C436B7" w:rsidRPr="005C36C8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lastRenderedPageBreak/>
        <w:t>Cat</w:t>
      </w:r>
      <w:r w:rsidR="005C36C8"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t>é</w:t>
      </w:r>
      <w:r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t>gories</w:t>
      </w:r>
      <w:r w:rsidR="005C36C8"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t xml:space="preserve"> </w:t>
      </w:r>
      <w:r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t>:</w:t>
      </w:r>
    </w:p>
    <w:p w14:paraId="5C933024" w14:textId="165905CD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Pour les étudiants de premier cycle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 : 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Restaurations postérieures cuspide par cuspide avec </w:t>
      </w:r>
      <w:proofErr w:type="spellStart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everX</w:t>
      </w:r>
      <w:proofErr w:type="spellEnd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Flow </w:t>
      </w:r>
    </w:p>
    <w:p w14:paraId="70D2C2A5" w14:textId="687D4E06" w:rsidR="00C436B7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>
        <w:rPr>
          <w:rFonts w:ascii="Avenir Next LT Pro" w:eastAsia="Verdana" w:hAnsi="Avenir Next LT Pro" w:cs="Verdana"/>
          <w:color w:val="000000" w:themeColor="text1"/>
          <w:lang w:val="fr-FR"/>
        </w:rPr>
        <w:t>P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our les étudiants de troisième cycle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 : 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Technique de moulage par injection </w:t>
      </w:r>
    </w:p>
    <w:p w14:paraId="7D2E6BBC" w14:textId="77777777" w:rsidR="00C436B7" w:rsidRPr="005C36C8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15B6DFC7" w14:textId="77777777" w:rsidR="005C36C8" w:rsidRPr="00816764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</w:pPr>
    </w:p>
    <w:p w14:paraId="23B39788" w14:textId="7777777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t xml:space="preserve">Comment participer : </w:t>
      </w:r>
    </w:p>
    <w:p w14:paraId="3BC905C3" w14:textId="7D68399F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Présentez vos photos haute définition de votre cas clinique avec G-</w:t>
      </w:r>
      <w:proofErr w:type="spellStart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ænial</w:t>
      </w:r>
      <w:proofErr w:type="spellEnd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Universal Injectable.</w:t>
      </w:r>
    </w:p>
    <w:p w14:paraId="29EEDD03" w14:textId="7777777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Partagez votre cas sur Facebook dans le groupe : Concours GC Academic Excellence </w:t>
      </w:r>
    </w:p>
    <w:p w14:paraId="2DF3B7FA" w14:textId="7777777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Partagez votre cas sur Instagram avec : </w:t>
      </w:r>
      <w:proofErr w:type="spellStart"/>
      <w:proofErr w:type="gramStart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gc.academic</w:t>
      </w:r>
      <w:proofErr w:type="gramEnd"/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.excellence.contest</w:t>
      </w:r>
      <w:proofErr w:type="spellEnd"/>
    </w:p>
    <w:p w14:paraId="7DC34978" w14:textId="77777777" w:rsid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</w:pPr>
    </w:p>
    <w:p w14:paraId="477D9F22" w14:textId="77777777" w:rsidR="005C36C8" w:rsidRPr="00816764" w:rsidRDefault="005C36C8" w:rsidP="005C36C8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4E2A0F5B" w14:textId="7777777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t>Critères d'évaluation :</w:t>
      </w:r>
    </w:p>
    <w:p w14:paraId="1DDD06B5" w14:textId="692E646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Chaque dossier sera évalué par un jury indépendant sur l'originalité, la complexité, la qualité et la présentation.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De plus,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un concours de popularité aura lieu, les gagnants étant déterminés par le nombre de likes et de partages sur Facebook et Instagram.</w:t>
      </w:r>
    </w:p>
    <w:p w14:paraId="49353090" w14:textId="77777777" w:rsidR="00C436B7" w:rsidRPr="005C36C8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3940CEBF" w14:textId="77777777" w:rsidR="005C36C8" w:rsidRPr="00816764" w:rsidRDefault="005C36C8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61AFE864" w14:textId="7777777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b/>
          <w:bCs/>
          <w:color w:val="000000" w:themeColor="text1"/>
          <w:lang w:val="fr-FR"/>
        </w:rPr>
        <w:t>Prix :</w:t>
      </w:r>
    </w:p>
    <w:p w14:paraId="6654F5BC" w14:textId="0B2CAEA9" w:rsidR="00375891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>Les lauréats nationaux auront la possibilité de présenter leur travail lors de la finale européenne du concours d'excellence académique GC et de participer à un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Master Course sur le Campus de</w:t>
      </w:r>
      <w:r w:rsidRPr="005C36C8">
        <w:rPr>
          <w:rFonts w:ascii="Avenir Next LT Pro" w:eastAsia="Verdana" w:hAnsi="Avenir Next LT Pro" w:cs="Verdana"/>
          <w:color w:val="000000" w:themeColor="text1"/>
          <w:lang w:val="fr-FR"/>
        </w:rPr>
        <w:t xml:space="preserve"> GC à Louvain, en Belgique.</w:t>
      </w:r>
    </w:p>
    <w:p w14:paraId="70352603" w14:textId="77777777" w:rsid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1D3A9E6A" w14:textId="77777777" w:rsidR="005C36C8" w:rsidRPr="005C36C8" w:rsidRDefault="005C36C8" w:rsidP="005C36C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0934F07B" w14:textId="77777777" w:rsidR="00353DCA" w:rsidRPr="00816764" w:rsidRDefault="00353DCA" w:rsidP="0037589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23E63C3D" w14:textId="7758E884" w:rsidR="00353DCA" w:rsidRPr="00353DCA" w:rsidRDefault="00353DCA" w:rsidP="00353DC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lastRenderedPageBreak/>
        <w:t>Ne manquez pas l’occasion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t xml:space="preserve">de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p</w:t>
      </w: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t xml:space="preserve">articiper à ce concours prestigieux et d'élever vos compétences dentaires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vers</w:t>
      </w: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t xml:space="preserve"> de nouveaux sommets. Participez au concours d'excellence académique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de </w:t>
      </w: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t>GC et soyez en lice pour une reconnaissance à l'échelle mondiale !</w:t>
      </w:r>
    </w:p>
    <w:p w14:paraId="52A1B013" w14:textId="77777777" w:rsidR="00353DCA" w:rsidRPr="00353DCA" w:rsidRDefault="00353DCA" w:rsidP="00353DC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64E081F" w14:textId="378A5090" w:rsidR="00353DCA" w:rsidRPr="00353DCA" w:rsidRDefault="00353DCA" w:rsidP="00353DC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t>Nous aimerions également inviter les dentistes qui ne répondent pas aux critères ou les étudiants qui ne souhaitent pas (encore) participer à suivre le groupe Facebook ou Instagram de ce concours</w:t>
      </w:r>
      <w:r w:rsidR="00DA0926">
        <w:rPr>
          <w:rFonts w:ascii="Avenir Next LT Pro" w:eastAsia="Verdana" w:hAnsi="Avenir Next LT Pro" w:cs="Verdana"/>
          <w:color w:val="000000" w:themeColor="text1"/>
          <w:lang w:val="fr-FR"/>
        </w:rPr>
        <w:t>,</w:t>
      </w: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t xml:space="preserve"> pour être témoins de la créativité et des compétences des étudiants en médecine dentaire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dans ce nouveau défi.</w:t>
      </w:r>
    </w:p>
    <w:p w14:paraId="1BF29FE0" w14:textId="77777777" w:rsidR="00C436B7" w:rsidRPr="00353DCA" w:rsidRDefault="00C436B7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45EC0501" w14:textId="547F9D31" w:rsidR="00C436B7" w:rsidRPr="00353DCA" w:rsidRDefault="00353DCA" w:rsidP="00C436B7">
      <w:pPr>
        <w:spacing w:line="360" w:lineRule="auto"/>
        <w:ind w:left="-990" w:right="-868"/>
        <w:rPr>
          <w:rFonts w:ascii="AvenirNext LT Pro Light" w:eastAsia="Verdana" w:hAnsi="AvenirNext LT Pro Light" w:cs="Verdana"/>
          <w:color w:val="000000" w:themeColor="text1"/>
          <w:u w:val="single"/>
          <w:lang w:val="fr-FR"/>
        </w:rPr>
      </w:pPr>
      <w:r w:rsidRPr="00353DCA">
        <w:rPr>
          <w:rFonts w:ascii="Avenir Next LT Pro" w:eastAsia="Verdana" w:hAnsi="Avenir Next LT Pro" w:cs="Verdana"/>
          <w:color w:val="000000" w:themeColor="text1"/>
          <w:lang w:val="fr-FR"/>
        </w:rPr>
        <w:t xml:space="preserve">Pour plus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d’infos, </w:t>
      </w:r>
      <w:proofErr w:type="gramStart"/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consulter </w:t>
      </w:r>
      <w:r w:rsidR="00C436B7" w:rsidRPr="00353DCA">
        <w:rPr>
          <w:rFonts w:ascii="AvenirNext LT Pro Light" w:eastAsia="Verdana" w:hAnsi="AvenirNext LT Pro Light" w:cs="Verdana"/>
          <w:color w:val="000000" w:themeColor="text1"/>
          <w:lang w:val="fr-FR"/>
        </w:rPr>
        <w:t xml:space="preserve"> </w:t>
      </w:r>
      <w:r w:rsidR="00375891" w:rsidRPr="00353DCA">
        <w:rPr>
          <w:rFonts w:ascii="AvenirNext LT Pro Light" w:hAnsi="AvenirNext LT Pro Light"/>
          <w:lang w:val="fr-FR"/>
        </w:rPr>
        <w:t>https://www.gc.dental/europe/en/news/academic-excellence-contest-</w:t>
      </w:r>
      <w:r w:rsidR="00B37943" w:rsidRPr="00353DCA">
        <w:rPr>
          <w:rFonts w:ascii="AvenirNext LT Pro Light" w:hAnsi="AvenirNext LT Pro Light"/>
          <w:lang w:val="fr-FR"/>
        </w:rPr>
        <w:t>202</w:t>
      </w:r>
      <w:r w:rsidR="00B37943" w:rsidRPr="00353DCA">
        <w:rPr>
          <w:rFonts w:ascii="AvenirNext LT Pro Light" w:eastAsia="Verdana" w:hAnsi="AvenirNext LT Pro Light" w:cs="Verdana"/>
          <w:lang w:val="fr-FR"/>
        </w:rPr>
        <w:t>5</w:t>
      </w:r>
      <w:proofErr w:type="gramEnd"/>
    </w:p>
    <w:p w14:paraId="6EA3222A" w14:textId="18AB37FB" w:rsidR="00375891" w:rsidRPr="00353DCA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</w:p>
    <w:p w14:paraId="7B8F45D0" w14:textId="77777777" w:rsidR="00375891" w:rsidRPr="00353DCA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0DE72B15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FRANCE S.A.S.</w:t>
      </w:r>
    </w:p>
    <w:p w14:paraId="786C78C7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8 rue Benjamin Franklin</w:t>
      </w:r>
    </w:p>
    <w:p w14:paraId="74625450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94370 Sucy en Brie</w:t>
      </w:r>
    </w:p>
    <w:p w14:paraId="7B498229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France</w:t>
      </w:r>
    </w:p>
    <w:p w14:paraId="4E135DE6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</w:p>
    <w:p w14:paraId="580615E6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+33 1 49 80 37 91</w:t>
      </w:r>
    </w:p>
    <w:p w14:paraId="7C82EE1F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+33 1 45 76 32 68</w:t>
      </w:r>
    </w:p>
    <w:p w14:paraId="45F605BC" w14:textId="77777777" w:rsidR="00EB54EC" w:rsidRPr="00EB54EC" w:rsidRDefault="00EB54EC" w:rsidP="00EB54EC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info.france@gc.dental</w:t>
      </w:r>
      <w:proofErr w:type="spellEnd"/>
    </w:p>
    <w:p w14:paraId="2AEB49FD" w14:textId="0A46DB7C" w:rsidR="00A5023C" w:rsidRPr="00631D36" w:rsidRDefault="00EB54EC" w:rsidP="00EB54EC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r w:rsidRPr="00EB54EC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www.gc.dental/europe/fr-FR</w:t>
      </w:r>
    </w:p>
    <w:sectPr w:rsidR="00A5023C" w:rsidRPr="00631D36" w:rsidSect="00375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955F" w14:textId="77777777" w:rsidR="009857EE" w:rsidRDefault="009857EE">
      <w:r>
        <w:separator/>
      </w:r>
    </w:p>
  </w:endnote>
  <w:endnote w:type="continuationSeparator" w:id="0">
    <w:p w14:paraId="48DF73D8" w14:textId="77777777" w:rsidR="009857EE" w:rsidRDefault="0098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28F0" w14:textId="77777777" w:rsidR="00C81595" w:rsidRDefault="00C81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0AB2" w14:textId="77777777" w:rsidR="00C81595" w:rsidRDefault="00C81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457E" w14:textId="77777777" w:rsidR="00C81595" w:rsidRDefault="00C81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9F6A" w14:textId="77777777" w:rsidR="009857EE" w:rsidRDefault="009857EE">
      <w:r>
        <w:separator/>
      </w:r>
    </w:p>
  </w:footnote>
  <w:footnote w:type="continuationSeparator" w:id="0">
    <w:p w14:paraId="62DEFC34" w14:textId="77777777" w:rsidR="009857EE" w:rsidRDefault="0098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1B03" w14:textId="77777777" w:rsidR="00C81595" w:rsidRDefault="00C81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09C0" w14:textId="77777777" w:rsidR="00C81595" w:rsidRDefault="00C81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87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15BB"/>
    <w:rsid w:val="000861F8"/>
    <w:rsid w:val="000A485C"/>
    <w:rsid w:val="000A7D73"/>
    <w:rsid w:val="000C3B2B"/>
    <w:rsid w:val="000C5E77"/>
    <w:rsid w:val="000D1716"/>
    <w:rsid w:val="000E4999"/>
    <w:rsid w:val="00102286"/>
    <w:rsid w:val="00103FB9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071C2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53DCA"/>
    <w:rsid w:val="003602A1"/>
    <w:rsid w:val="00375891"/>
    <w:rsid w:val="00390C9F"/>
    <w:rsid w:val="003A434A"/>
    <w:rsid w:val="003B1417"/>
    <w:rsid w:val="003B4C34"/>
    <w:rsid w:val="003C645C"/>
    <w:rsid w:val="003D5E25"/>
    <w:rsid w:val="003E12D8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C36C8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16764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57EE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4A31"/>
    <w:rsid w:val="00AC7463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81595"/>
    <w:rsid w:val="00CA5DBB"/>
    <w:rsid w:val="00CC6660"/>
    <w:rsid w:val="00D16301"/>
    <w:rsid w:val="00D21359"/>
    <w:rsid w:val="00D33936"/>
    <w:rsid w:val="00D47601"/>
    <w:rsid w:val="00DA0926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B54EC"/>
    <w:rsid w:val="00ED2B9D"/>
    <w:rsid w:val="00ED59B2"/>
    <w:rsid w:val="00EE790F"/>
    <w:rsid w:val="00F5342D"/>
    <w:rsid w:val="00F966A1"/>
    <w:rsid w:val="00FB5078"/>
    <w:rsid w:val="00FD6DED"/>
    <w:rsid w:val="00FE3200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B3C94574-3A34-4F28-B1F1-ED3EC16A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6</cp:revision>
  <cp:lastPrinted>2020-01-21T15:04:00Z</cp:lastPrinted>
  <dcterms:created xsi:type="dcterms:W3CDTF">2025-03-10T07:49:00Z</dcterms:created>
  <dcterms:modified xsi:type="dcterms:W3CDTF">2025-03-12T16:31:00Z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</Properties>
</file>