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077CF452" w:rsidR="00270FCD" w:rsidRPr="00631D36" w:rsidRDefault="004E2FB3" w:rsidP="000967D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59F63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0967D8" w:rsidRPr="000967D8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Δ</w:t>
      </w:r>
      <w:r w:rsidR="000967D8" w:rsidRPr="000967D8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>ελτίο</w:t>
      </w:r>
      <w:proofErr w:type="spellEnd"/>
      <w:r w:rsidR="000967D8" w:rsidRPr="000967D8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="000967D8" w:rsidRPr="000967D8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>Τύ</w:t>
      </w:r>
      <w:proofErr w:type="spellEnd"/>
      <w:r w:rsidR="000967D8" w:rsidRPr="000967D8">
        <w:rPr>
          <w:rFonts w:ascii="Avenir Next LT Pro" w:hAnsi="Avenir Next LT Pro" w:cs="Avenir Next LT Pro"/>
          <w:b/>
          <w:bCs/>
          <w:color w:val="000000" w:themeColor="text1"/>
          <w:sz w:val="30"/>
          <w:szCs w:val="30"/>
          <w:lang w:val="en-GB"/>
        </w:rPr>
        <w:t>π</w:t>
      </w:r>
      <w:r w:rsidR="000967D8" w:rsidRPr="000967D8">
        <w:rPr>
          <w:rFonts w:ascii="Calibri" w:hAnsi="Calibri" w:cs="Calibri"/>
          <w:b/>
          <w:bCs/>
          <w:color w:val="000000" w:themeColor="text1"/>
          <w:sz w:val="30"/>
          <w:szCs w:val="30"/>
          <w:lang w:val="en-GB"/>
        </w:rPr>
        <w:t>ου</w:t>
      </w:r>
    </w:p>
    <w:p w14:paraId="5106CFB0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718EE8D5" w14:textId="76FD68FB" w:rsidR="008961BF" w:rsidRDefault="000967D8" w:rsidP="00C436B7">
      <w:pPr>
        <w:spacing w:line="360" w:lineRule="auto"/>
        <w:ind w:left="-990" w:right="-868"/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</w:pP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Το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Editorial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του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BDJ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Αν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αδεικνύει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τη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Δ</w:t>
      </w:r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υν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</w:t>
      </w:r>
      <w:r w:rsidRPr="000967D8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μ</w:t>
      </w:r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ική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Συνεργ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ασία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γι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τη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Στο</w:t>
      </w:r>
      <w:r w:rsidRPr="000967D8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μ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ατική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Υγεί</w:t>
      </w:r>
      <w:proofErr w:type="spellEnd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α</w:t>
      </w:r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στον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Ηλικιω</w:t>
      </w:r>
      <w:r w:rsidRPr="000967D8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μ</w:t>
      </w:r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ένο</w:t>
      </w:r>
      <w:proofErr w:type="spellEnd"/>
      <w:r w:rsidRPr="000967D8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Πληθυσ</w:t>
      </w:r>
      <w:r w:rsidRPr="000967D8">
        <w:rPr>
          <w:rFonts w:ascii="Avenir Next LT Pro" w:eastAsia="Verdana" w:hAnsi="Avenir Next LT Pro" w:cs="Avenir Next LT Pro"/>
          <w:b/>
          <w:bCs/>
          <w:color w:val="000000" w:themeColor="text1"/>
          <w:sz w:val="30"/>
          <w:szCs w:val="30"/>
          <w:lang w:val="en-GB"/>
        </w:rPr>
        <w:t>μ</w:t>
      </w:r>
      <w:r w:rsidRPr="000967D8">
        <w:rPr>
          <w:rFonts w:ascii="Calibri" w:eastAsia="Verdana" w:hAnsi="Calibri" w:cs="Calibri"/>
          <w:b/>
          <w:bCs/>
          <w:color w:val="000000" w:themeColor="text1"/>
          <w:sz w:val="30"/>
          <w:szCs w:val="30"/>
          <w:lang w:val="en-GB"/>
        </w:rPr>
        <w:t>ό</w:t>
      </w:r>
      <w:proofErr w:type="spellEnd"/>
    </w:p>
    <w:p w14:paraId="538B9B4F" w14:textId="77777777" w:rsidR="000967D8" w:rsidRPr="00C436B7" w:rsidRDefault="000967D8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5DEBA3F2" w14:textId="77777777" w:rsidR="00733D26" w:rsidRPr="00733D26" w:rsidRDefault="00733D26" w:rsidP="00733D2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British Dental Journal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δη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οσίευσε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ρόσφ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έν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ενδι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αφέρον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editorial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ου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ανα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δεικνύει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ουσι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αστική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συνεργ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ασία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αξύ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οδοντι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ατρικής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κοινότητ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αιρικών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αίρων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λα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ίσιο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ρωτο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βουλίας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FDI Oral Health for an Ageing Population (OHAP).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άρθρο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τονίζει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ση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ασία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υτής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συνεργ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ασίας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ντι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ετώ</w:t>
      </w:r>
      <w:proofErr w:type="spellEnd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ιση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ροκλήσεων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ου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σχετίζοντ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ατική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υγεί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ηλικιω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συ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βάλλοντας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β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ελτίωση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οιότητ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ζωής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έσω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λύτερης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ατικής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φροντίδ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3FD5FC5" w14:textId="77777777" w:rsidR="00733D26" w:rsidRDefault="00733D26" w:rsidP="00733D2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ρόγρ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OHAP,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ου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ξεκίνησε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2015,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στοχεύει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στην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ενσω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άτωση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στρ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ατηγικών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ατικής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υγεί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σε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ευρύτερες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ολιτικές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υγεί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γηράσκοντ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ληθυσ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ό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Συγκεντρώνει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οικίλους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φορείς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ροκει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ένου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να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ανα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τύξει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ρα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κτικά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ροσ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ανατολισ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σθενή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εργ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αλεία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ενδυν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ώνοντας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γγελ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ατίες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ατικής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υγεί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φροντιστές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λλά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ίδιους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ηλικιω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ρόγρ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ρέχει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εργ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αλεία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ό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ως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ο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Οδηγός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Ευ</w:t>
      </w:r>
      <w:proofErr w:type="spellEnd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άθειας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(Frailty Guide)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FDI,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β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οηθώντ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οδοντιάτρους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να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δη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ιουργήσουν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εξ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ικευ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λάν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φροντίδ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β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ελτίωση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της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στο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ατικής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συνολικής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υγεί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ας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ηλικιω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ένων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AABA132" w14:textId="77777777" w:rsidR="00733D26" w:rsidRPr="00733D26" w:rsidRDefault="00733D26" w:rsidP="00733D2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BE165D7" w14:textId="1A4FCEC7" w:rsidR="008961BF" w:rsidRDefault="00733D26" w:rsidP="00733D26">
      <w:pPr>
        <w:spacing w:line="360" w:lineRule="auto"/>
        <w:ind w:left="-990" w:right="-868"/>
        <w:rPr>
          <w:rFonts w:ascii="Avenir Next LT Pro" w:eastAsia="Verdana" w:hAnsi="Avenir Next LT Pro" w:cs="Verdana"/>
          <w:color w:val="365F91" w:themeColor="accent1" w:themeShade="BF"/>
          <w:lang w:val="en-GB"/>
        </w:rPr>
      </w:pPr>
      <w:r w:rsidRPr="00733D26">
        <w:rPr>
          <w:rFonts w:ascii="Segoe UI Emoji" w:eastAsia="Verdana" w:hAnsi="Segoe UI Emoji" w:cs="Segoe UI Emoji"/>
          <w:color w:val="000000" w:themeColor="text1"/>
          <w:lang w:val="en-GB"/>
        </w:rPr>
        <w:t>📌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Γι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ερισσότερες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ληροφορίες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σχετικά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μ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τα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εργ</w:t>
      </w:r>
      <w:proofErr w:type="spellEnd"/>
      <w:r w:rsidRPr="00733D26">
        <w:rPr>
          <w:rFonts w:ascii="Calibri" w:eastAsia="Verdana" w:hAnsi="Calibri" w:cs="Calibri"/>
          <w:color w:val="000000" w:themeColor="text1"/>
          <w:lang w:val="en-GB"/>
        </w:rPr>
        <w:t>αλεία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και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όρους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ου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έχει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ανα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τύξει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 xml:space="preserve"> OHAP, </w:t>
      </w:r>
      <w:r w:rsidRPr="00733D26">
        <w:rPr>
          <w:rFonts w:ascii="Calibri" w:eastAsia="Verdana" w:hAnsi="Calibri" w:cs="Calibri"/>
          <w:color w:val="000000" w:themeColor="text1"/>
          <w:lang w:val="en-GB"/>
        </w:rPr>
        <w:t>ε</w:t>
      </w:r>
      <w:r w:rsidRPr="00733D26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733D26">
        <w:rPr>
          <w:rFonts w:ascii="Calibri" w:eastAsia="Verdana" w:hAnsi="Calibri" w:cs="Calibri"/>
          <w:color w:val="000000" w:themeColor="text1"/>
          <w:lang w:val="en-GB"/>
        </w:rPr>
        <w:t>ισκεφθείτε</w:t>
      </w:r>
      <w:r w:rsidRPr="00733D26">
        <w:rPr>
          <w:rFonts w:ascii="Avenir Next LT Pro" w:eastAsia="Verdana" w:hAnsi="Avenir Next LT Pro" w:cs="Verdana"/>
          <w:color w:val="000000" w:themeColor="text1"/>
          <w:lang w:val="en-GB"/>
        </w:rPr>
        <w:t>:</w:t>
      </w:r>
      <w:hyperlink r:id="rId10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</w:t>
        </w:r>
        <w:proofErr w:type="spellEnd"/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 xml:space="preserve"> health for an ageing population | FDI</w:t>
        </w:r>
      </w:hyperlink>
      <w:r w:rsidR="00F03AE1" w:rsidRPr="00C01697">
        <w:rPr>
          <w:rFonts w:ascii="Avenir Next LT Pro" w:eastAsia="Verdana" w:hAnsi="Avenir Next LT Pro" w:cs="Verdana"/>
          <w:color w:val="365F91" w:themeColor="accent1" w:themeShade="BF"/>
          <w:lang w:val="en-GB"/>
        </w:rPr>
        <w:t xml:space="preserve"> </w:t>
      </w:r>
    </w:p>
    <w:p w14:paraId="33D7FBCF" w14:textId="77777777" w:rsidR="00B957EB" w:rsidRPr="008961BF" w:rsidRDefault="00B957EB" w:rsidP="00733D2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EA3222A" w14:textId="26A9F2DE" w:rsidR="00375891" w:rsidRPr="00C01697" w:rsidRDefault="00B957EB" w:rsidP="008961BF">
      <w:pPr>
        <w:spacing w:line="360" w:lineRule="auto"/>
        <w:ind w:left="-990" w:right="-868"/>
        <w:rPr>
          <w:rFonts w:ascii="Avenir Next LT Pro" w:eastAsia="Verdana" w:hAnsi="Avenir Next LT Pro" w:cs="Verdana"/>
          <w:color w:val="365F91" w:themeColor="accent1" w:themeShade="BF"/>
          <w:u w:val="single"/>
          <w:lang w:val="en-GB"/>
        </w:rPr>
      </w:pPr>
      <w:r w:rsidRPr="00B957EB">
        <w:rPr>
          <w:rFonts w:ascii="Segoe UI Emoji" w:eastAsia="Verdana" w:hAnsi="Segoe UI Emoji" w:cs="Segoe UI Emoji"/>
          <w:color w:val="000000" w:themeColor="text1"/>
          <w:lang w:val="en-GB"/>
        </w:rPr>
        <w:t>📄</w:t>
      </w:r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957EB">
        <w:rPr>
          <w:rFonts w:ascii="Calibri" w:eastAsia="Verdana" w:hAnsi="Calibri" w:cs="Calibri"/>
          <w:color w:val="000000" w:themeColor="text1"/>
          <w:lang w:val="en-GB"/>
        </w:rPr>
        <w:t>Γι</w:t>
      </w:r>
      <w:proofErr w:type="spellEnd"/>
      <w:r w:rsidRPr="00B957EB">
        <w:rPr>
          <w:rFonts w:ascii="Calibri" w:eastAsia="Verdana" w:hAnsi="Calibri" w:cs="Calibri"/>
          <w:color w:val="000000" w:themeColor="text1"/>
          <w:lang w:val="en-GB"/>
        </w:rPr>
        <w:t>α</w:t>
      </w:r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Pr="00B957EB">
        <w:rPr>
          <w:rFonts w:ascii="Calibri" w:eastAsia="Verdana" w:hAnsi="Calibri" w:cs="Calibri"/>
          <w:color w:val="000000" w:themeColor="text1"/>
          <w:lang w:val="en-GB"/>
        </w:rPr>
        <w:t>να</w:t>
      </w:r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957EB">
        <w:rPr>
          <w:rFonts w:ascii="Calibri" w:eastAsia="Verdana" w:hAnsi="Calibri" w:cs="Calibri"/>
          <w:color w:val="000000" w:themeColor="text1"/>
          <w:lang w:val="en-GB"/>
        </w:rPr>
        <w:t>δι</w:t>
      </w:r>
      <w:proofErr w:type="spellEnd"/>
      <w:r w:rsidRPr="00B957EB">
        <w:rPr>
          <w:rFonts w:ascii="Calibri" w:eastAsia="Verdana" w:hAnsi="Calibri" w:cs="Calibri"/>
          <w:color w:val="000000" w:themeColor="text1"/>
          <w:lang w:val="en-GB"/>
        </w:rPr>
        <w:t>αβάσετε</w:t>
      </w:r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B957EB">
        <w:rPr>
          <w:rFonts w:ascii="Calibri" w:eastAsia="Verdana" w:hAnsi="Calibri" w:cs="Calibri"/>
          <w:color w:val="000000" w:themeColor="text1"/>
          <w:lang w:val="en-GB"/>
        </w:rPr>
        <w:t>το</w:t>
      </w:r>
      <w:proofErr w:type="spellEnd"/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 xml:space="preserve"> editorial, </w:t>
      </w:r>
      <w:r w:rsidRPr="00B957EB">
        <w:rPr>
          <w:rFonts w:ascii="Calibri" w:eastAsia="Verdana" w:hAnsi="Calibri" w:cs="Calibri"/>
          <w:color w:val="000000" w:themeColor="text1"/>
          <w:lang w:val="en-GB"/>
        </w:rPr>
        <w:t>ε</w:t>
      </w:r>
      <w:r w:rsidRPr="00B957EB">
        <w:rPr>
          <w:rFonts w:ascii="Avenir Next LT Pro" w:eastAsia="Verdana" w:hAnsi="Avenir Next LT Pro" w:cs="Avenir Next LT Pro"/>
          <w:color w:val="000000" w:themeColor="text1"/>
          <w:lang w:val="en-GB"/>
        </w:rPr>
        <w:t>π</w:t>
      </w:r>
      <w:proofErr w:type="spellStart"/>
      <w:r w:rsidRPr="00B957EB">
        <w:rPr>
          <w:rFonts w:ascii="Calibri" w:eastAsia="Verdana" w:hAnsi="Calibri" w:cs="Calibri"/>
          <w:color w:val="000000" w:themeColor="text1"/>
          <w:lang w:val="en-GB"/>
        </w:rPr>
        <w:t>ισκεφθείτε</w:t>
      </w:r>
      <w:r w:rsidRPr="00B957EB">
        <w:rPr>
          <w:rFonts w:ascii="Avenir Next LT Pro" w:eastAsia="Verdana" w:hAnsi="Avenir Next LT Pro" w:cs="Verdana"/>
          <w:color w:val="000000" w:themeColor="text1"/>
          <w:lang w:val="en-GB"/>
        </w:rPr>
        <w:t>:</w:t>
      </w:r>
      <w:hyperlink r:id="rId11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</w:t>
        </w:r>
        <w:proofErr w:type="spellEnd"/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 xml:space="preserve"> health in an ageing population: when the profession and industry unite for healthy longevity | British Dental Journal</w:t>
        </w:r>
      </w:hyperlink>
    </w:p>
    <w:p w14:paraId="7B8F45D0" w14:textId="77777777" w:rsidR="00375891" w:rsidRPr="00C436B7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56151F3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6A030313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77AC4661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6BDB2AFC" w14:textId="77777777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34F542DA" w14:textId="77777777" w:rsidR="00860A68" w:rsidRPr="00860A68" w:rsidRDefault="00860A68" w:rsidP="00860A6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860A6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GC EUROPE N.V. - Mediterranean Office</w:t>
      </w:r>
    </w:p>
    <w:p w14:paraId="40126C9A" w14:textId="77777777" w:rsidR="00860A68" w:rsidRPr="00860A68" w:rsidRDefault="00860A68" w:rsidP="00860A6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860A6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43, </w:t>
      </w:r>
      <w:proofErr w:type="spellStart"/>
      <w:r w:rsidRPr="00860A6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Fidippidou</w:t>
      </w:r>
      <w:proofErr w:type="spellEnd"/>
      <w:r w:rsidRPr="00860A6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Str.</w:t>
      </w:r>
    </w:p>
    <w:p w14:paraId="1DDD2DC2" w14:textId="77777777" w:rsidR="00860A68" w:rsidRPr="00860A68" w:rsidRDefault="00860A68" w:rsidP="00860A68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860A68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115 27 Athens</w:t>
      </w:r>
    </w:p>
    <w:p w14:paraId="2AEB49FD" w14:textId="49312ED6" w:rsidR="00A5023C" w:rsidRPr="00860A68" w:rsidRDefault="00860A68" w:rsidP="00860A68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</w:rPr>
      </w:pPr>
      <w:proofErr w:type="spellStart"/>
      <w:r w:rsidRPr="00860A68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Ελλάδ</w:t>
      </w:r>
      <w:proofErr w:type="spellEnd"/>
      <w:r w:rsidRPr="00860A68">
        <w:rPr>
          <w:rFonts w:ascii="Calibri" w:hAnsi="Calibri" w:cs="Calibri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α</w:t>
      </w:r>
    </w:p>
    <w:sectPr w:rsidR="00A5023C" w:rsidRPr="00860A68" w:rsidSect="00375891">
      <w:headerReference w:type="default" r:id="rId12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7718" w14:textId="77777777" w:rsidR="00AC7463" w:rsidRDefault="00AC7463">
      <w:r>
        <w:separator/>
      </w:r>
    </w:p>
  </w:endnote>
  <w:endnote w:type="continuationSeparator" w:id="0">
    <w:p w14:paraId="6929291E" w14:textId="77777777" w:rsidR="00AC7463" w:rsidRDefault="00AC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5451" w14:textId="77777777" w:rsidR="00AC7463" w:rsidRDefault="00AC7463">
      <w:r>
        <w:separator/>
      </w:r>
    </w:p>
  </w:footnote>
  <w:footnote w:type="continuationSeparator" w:id="0">
    <w:p w14:paraId="7394D1EC" w14:textId="77777777" w:rsidR="00AC7463" w:rsidRDefault="00AC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670"/>
    <w:rsid w:val="000967D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739B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6632E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0C79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3D26"/>
    <w:rsid w:val="00737C03"/>
    <w:rsid w:val="007407B1"/>
    <w:rsid w:val="00775ABD"/>
    <w:rsid w:val="00776B7A"/>
    <w:rsid w:val="00776E54"/>
    <w:rsid w:val="007847F0"/>
    <w:rsid w:val="007973C3"/>
    <w:rsid w:val="007B054F"/>
    <w:rsid w:val="007B4634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0A68"/>
    <w:rsid w:val="008663A4"/>
    <w:rsid w:val="00867C29"/>
    <w:rsid w:val="008753D9"/>
    <w:rsid w:val="00881F99"/>
    <w:rsid w:val="008961BF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257DD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29D1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957EB"/>
    <w:rsid w:val="00BB5D11"/>
    <w:rsid w:val="00BD25AB"/>
    <w:rsid w:val="00BD4617"/>
    <w:rsid w:val="00BE1580"/>
    <w:rsid w:val="00BE5C2D"/>
    <w:rsid w:val="00C01697"/>
    <w:rsid w:val="00C12E8E"/>
    <w:rsid w:val="00C2221D"/>
    <w:rsid w:val="00C436B7"/>
    <w:rsid w:val="00C60B64"/>
    <w:rsid w:val="00CA5DBB"/>
    <w:rsid w:val="00CC6660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03AE1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ure.com/articles/s41415-025-8553-2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diworlddental.org/oral-health-ageing-popul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804DC-6AF4-4D9D-80B9-C7A7641841CD}">
  <ds:schemaRefs>
    <ds:schemaRef ds:uri="75a7ced3-6034-42ab-8086-73bcc9b2da3d"/>
    <ds:schemaRef ds:uri="http://schemas.microsoft.com/office/infopath/2007/PartnerControls"/>
    <ds:schemaRef ds:uri="http://purl.org/dc/terms/"/>
    <ds:schemaRef ds:uri="fbc17045-f088-4e89-878a-d67d32a0747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2025-04-25T12:33:00Z</dcterms:created>
  <dcterms:modified xsi:type="dcterms:W3CDTF">2025-04-25T12:33:00Z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