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649C7F3" w14:textId="77777777" w:rsidR="00E4100B" w:rsidRPr="00582A2E" w:rsidRDefault="00E4100B" w:rsidP="00E4100B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s-ES_tradnl"/>
        </w:rPr>
      </w:pPr>
      <w:r w:rsidRPr="00631D36">
        <w:rPr>
          <w:rFonts w:ascii="Avenir Next LT Pro" w:hAnsi="Avenir Next LT Pro"/>
          <w:b/>
          <w:bCs/>
          <w:noProof/>
          <w:color w:val="000000" w:themeColor="text1"/>
          <w:sz w:val="30"/>
          <w:szCs w:val="3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88BD6D" wp14:editId="23D7B3B9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37F6B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proofErr w:type="spellStart"/>
      <w:r w:rsidRPr="00582A2E">
        <w:rPr>
          <w:rFonts w:ascii="Avenir Next LT Pro" w:hAnsi="Avenir Next LT Pro"/>
          <w:b/>
          <w:bCs/>
          <w:color w:val="000000" w:themeColor="text1"/>
          <w:sz w:val="30"/>
          <w:szCs w:val="30"/>
          <w:lang w:val="es-ES_tradnl"/>
        </w:rPr>
        <w:t>Press</w:t>
      </w:r>
      <w:proofErr w:type="spellEnd"/>
      <w:r w:rsidRPr="00582A2E">
        <w:rPr>
          <w:rFonts w:ascii="Avenir Next LT Pro" w:hAnsi="Avenir Next LT Pro"/>
          <w:b/>
          <w:bCs/>
          <w:color w:val="000000" w:themeColor="text1"/>
          <w:sz w:val="30"/>
          <w:szCs w:val="30"/>
          <w:lang w:val="es-ES_tradnl"/>
        </w:rPr>
        <w:t xml:space="preserve"> </w:t>
      </w:r>
      <w:proofErr w:type="spellStart"/>
      <w:r w:rsidRPr="00582A2E">
        <w:rPr>
          <w:rFonts w:ascii="Avenir Next LT Pro" w:hAnsi="Avenir Next LT Pro"/>
          <w:b/>
          <w:bCs/>
          <w:color w:val="000000" w:themeColor="text1"/>
          <w:sz w:val="30"/>
          <w:szCs w:val="30"/>
          <w:lang w:val="es-ES_tradnl"/>
        </w:rPr>
        <w:t>release</w:t>
      </w:r>
      <w:proofErr w:type="spellEnd"/>
    </w:p>
    <w:p w14:paraId="0C69B5D1" w14:textId="77777777" w:rsidR="00270FCD" w:rsidRPr="00E4100B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u w:val="single"/>
          <w:lang w:val="es-ES_tradnl"/>
        </w:rPr>
      </w:pPr>
    </w:p>
    <w:p w14:paraId="6F71835F" w14:textId="3602D2CB" w:rsidR="00CA4627" w:rsidRPr="00E4100B" w:rsidRDefault="00CA4627" w:rsidP="00CA462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es-ES_tradnl"/>
        </w:rPr>
      </w:pPr>
      <w:r w:rsidRPr="00E4100B">
        <w:rPr>
          <w:rFonts w:ascii="Avenir Next LT Pro" w:eastAsia="Verdana" w:hAnsi="Avenir Next LT Pro" w:cs="Verdana"/>
          <w:color w:val="000000" w:themeColor="text1"/>
          <w:u w:val="single"/>
          <w:lang w:val="es-ES_tradnl"/>
        </w:rPr>
        <w:t xml:space="preserve">Enfoques directos pragmáticos para el desgaste dental </w:t>
      </w:r>
      <w:r w:rsidR="00582A2E">
        <w:rPr>
          <w:rFonts w:ascii="Avenir Next LT Pro" w:eastAsia="Verdana" w:hAnsi="Avenir Next LT Pro" w:cs="Verdana"/>
          <w:color w:val="000000" w:themeColor="text1"/>
          <w:u w:val="single"/>
          <w:lang w:val="es-ES_tradnl"/>
        </w:rPr>
        <w:t>de</w:t>
      </w:r>
      <w:r w:rsidRPr="00E4100B">
        <w:rPr>
          <w:rFonts w:ascii="Avenir Next LT Pro" w:eastAsia="Verdana" w:hAnsi="Avenir Next LT Pro" w:cs="Verdana"/>
          <w:color w:val="000000" w:themeColor="text1"/>
          <w:u w:val="single"/>
          <w:lang w:val="es-ES_tradnl"/>
        </w:rPr>
        <w:t xml:space="preserve"> GC</w:t>
      </w:r>
    </w:p>
    <w:p w14:paraId="5106CFB0" w14:textId="77777777" w:rsidR="007847F0" w:rsidRPr="00E4100B" w:rsidRDefault="007847F0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es-ES_tradnl"/>
        </w:rPr>
      </w:pPr>
    </w:p>
    <w:p w14:paraId="72869129" w14:textId="6F2A179E" w:rsidR="00C436B7" w:rsidRPr="00E4100B" w:rsidRDefault="00883A8F" w:rsidP="00C436B7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s-ES_tradnl"/>
        </w:rPr>
      </w:pPr>
      <w:r w:rsidRPr="00E4100B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s-ES_tradnl"/>
        </w:rPr>
        <w:t>Desde el diagnóstico hasta la acción: gestión eficaz del desgaste dental</w:t>
      </w:r>
    </w:p>
    <w:p w14:paraId="2EE6D9DB" w14:textId="77777777" w:rsidR="007F5940" w:rsidRPr="00E4100B" w:rsidRDefault="007F5940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</w:p>
    <w:p w14:paraId="0BE6B25D" w14:textId="47AB4648" w:rsidR="006552E8" w:rsidRPr="00E4100B" w:rsidRDefault="00481B63" w:rsidP="006616BC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lang w:val="es-ES_tradnl"/>
        </w:rPr>
      </w:pPr>
      <w:r w:rsidRPr="00E4100B">
        <w:rPr>
          <w:rFonts w:ascii="Avenir Next LT Pro" w:eastAsia="Verdana" w:hAnsi="Avenir Next LT Pro" w:cs="Verdana"/>
          <w:b/>
          <w:bCs/>
          <w:color w:val="000000" w:themeColor="text1"/>
          <w:lang w:val="es-ES_tradnl"/>
        </w:rPr>
        <w:t>El desgaste dental es una preocupación creciente que afecta cada vez más a la práctica diaria. Se estima que 4 de cada 10 pacientes sufren un desgaste dental moderado a severo. Con el aumento de la prevalencia en todos los grupos de edad, la gestión eficaz nunca ha sido más crítica. Los profesionales dentales desempeñan un papel crucial ayudando a los pacientes a gestionar el desgaste dental para reducir su impacto y evitar una mayor progresión.</w:t>
      </w:r>
    </w:p>
    <w:p w14:paraId="6259144A" w14:textId="77777777" w:rsidR="006552E8" w:rsidRPr="00E4100B" w:rsidRDefault="006552E8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</w:p>
    <w:p w14:paraId="093665BF" w14:textId="3EA7A9EE" w:rsidR="00982440" w:rsidRPr="00E4100B" w:rsidRDefault="008D3594" w:rsidP="0098244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  <w:r w:rsidRPr="00E4100B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GC está comprometido a apoyar a los profesionales dentales en la gestión del desgaste dental proporcionando soluciones y recursos prácticos. La iniciativa incluye cursos dirigidos por expertos, artículos en profundidad, entrevistas enriquecedoras y </w:t>
      </w:r>
      <w:proofErr w:type="spellStart"/>
      <w:r w:rsidRPr="00E4100B">
        <w:rPr>
          <w:rFonts w:ascii="Avenir Next LT Pro" w:eastAsia="Verdana" w:hAnsi="Avenir Next LT Pro" w:cs="Verdana"/>
          <w:color w:val="000000" w:themeColor="text1"/>
          <w:lang w:val="es-ES_tradnl"/>
        </w:rPr>
        <w:t>web</w:t>
      </w:r>
      <w:r w:rsidR="00EF7A1B">
        <w:rPr>
          <w:rFonts w:ascii="Avenir Next LT Pro" w:eastAsia="Verdana" w:hAnsi="Avenir Next LT Pro" w:cs="Verdana"/>
          <w:color w:val="000000" w:themeColor="text1"/>
          <w:lang w:val="es-ES_tradnl"/>
        </w:rPr>
        <w:t>inars</w:t>
      </w:r>
      <w:proofErr w:type="spellEnd"/>
      <w:r w:rsidRPr="00E4100B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 interactivos, todos diseñados para dotar a los profesionales dentales de los conocimientos y herramientas necesarios para minimizar el impacto del desgaste dental y prevenir su progresión.</w:t>
      </w:r>
    </w:p>
    <w:p w14:paraId="1CC68E5D" w14:textId="77777777" w:rsidR="00663B73" w:rsidRPr="00E4100B" w:rsidRDefault="00F303A3" w:rsidP="0098244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  <w:r w:rsidRPr="00E4100B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En los primeros meses, se explorarán las causas y estrategias clave para gestionar el desgaste dental moderado, antes de pasar más adelante a abordar el desgaste severo con mayor profundidad. </w:t>
      </w:r>
    </w:p>
    <w:p w14:paraId="496385A6" w14:textId="6D399B87" w:rsidR="00982440" w:rsidRPr="00E4100B" w:rsidRDefault="00982440" w:rsidP="0098244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  <w:r w:rsidRPr="00E4100B">
        <w:rPr>
          <w:rFonts w:ascii="Avenir Next LT Pro" w:eastAsia="Verdana" w:hAnsi="Avenir Next LT Pro" w:cs="Verdana"/>
          <w:color w:val="000000" w:themeColor="text1"/>
          <w:lang w:val="es-ES_tradnl"/>
        </w:rPr>
        <w:t>"Nuestro objetivo es proporcionar a los clínicos soluciones basadas en la evidencia y orientación práctica que puedan aplicarse en la práctica diaria", dijo Earta Lauka, responsable de la Unidad de Negocio de Compos</w:t>
      </w:r>
      <w:r w:rsidR="002B1183">
        <w:rPr>
          <w:rFonts w:ascii="Avenir Next LT Pro" w:eastAsia="Verdana" w:hAnsi="Avenir Next LT Pro" w:cs="Verdana"/>
          <w:color w:val="000000" w:themeColor="text1"/>
          <w:lang w:val="es-ES_tradnl"/>
        </w:rPr>
        <w:t>ite</w:t>
      </w:r>
      <w:r w:rsidRPr="00E4100B">
        <w:rPr>
          <w:rFonts w:ascii="Avenir Next LT Pro" w:eastAsia="Verdana" w:hAnsi="Avenir Next LT Pro" w:cs="Verdana"/>
          <w:color w:val="000000" w:themeColor="text1"/>
          <w:lang w:val="es-ES_tradnl"/>
        </w:rPr>
        <w:t>s Restaura</w:t>
      </w:r>
      <w:r w:rsidR="002B1183">
        <w:rPr>
          <w:rFonts w:ascii="Avenir Next LT Pro" w:eastAsia="Verdana" w:hAnsi="Avenir Next LT Pro" w:cs="Verdana"/>
          <w:color w:val="000000" w:themeColor="text1"/>
          <w:lang w:val="es-ES_tradnl"/>
        </w:rPr>
        <w:t>dores</w:t>
      </w:r>
      <w:r w:rsidRPr="00E4100B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 en GC Europe. "Nuestro objetivo es presentar y explicar diferentes enfoques, </w:t>
      </w:r>
      <w:r w:rsidRPr="00E4100B">
        <w:rPr>
          <w:rFonts w:ascii="Avenir Next LT Pro" w:eastAsia="Verdana" w:hAnsi="Avenir Next LT Pro" w:cs="Verdana"/>
          <w:color w:val="000000" w:themeColor="text1"/>
          <w:lang w:val="es-ES_tradnl"/>
        </w:rPr>
        <w:lastRenderedPageBreak/>
        <w:t>proporcionando a los dentistas las perspectivas necesarias para elegir la mejor opción para sus pacientes."</w:t>
      </w:r>
    </w:p>
    <w:p w14:paraId="0A0B1410" w14:textId="77777777" w:rsidR="00982440" w:rsidRPr="00E4100B" w:rsidRDefault="00982440" w:rsidP="0098244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  <w:r w:rsidRPr="00E4100B">
        <w:rPr>
          <w:rFonts w:ascii="Avenir Next LT Pro" w:eastAsia="Verdana" w:hAnsi="Avenir Next LT Pro" w:cs="Verdana"/>
          <w:color w:val="000000" w:themeColor="text1"/>
          <w:lang w:val="es-ES_tradnl"/>
        </w:rPr>
        <w:t>Esta campaña refleja el compromiso continuo de GC con la innovación y la educación en la salud bucodental. Al participar en este programa, los equipos dentales pueden adelantarse a las tendencias emergentes y ofrecer el más alto nivel de atención a sus pacientes.</w:t>
      </w:r>
    </w:p>
    <w:p w14:paraId="254F9DC9" w14:textId="27B163B0" w:rsidR="00D836FC" w:rsidRPr="00E4100B" w:rsidRDefault="00982440" w:rsidP="0098244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  <w:r w:rsidRPr="00E4100B">
        <w:rPr>
          <w:rFonts w:ascii="Avenir Next LT Pro" w:eastAsia="Verdana" w:hAnsi="Avenir Next LT Pro" w:cs="Verdana"/>
          <w:color w:val="000000" w:themeColor="text1"/>
          <w:lang w:val="es-ES_tradnl"/>
        </w:rPr>
        <w:t>Para más información: https://campaigns-gceurope.com/wear-solutions</w:t>
      </w:r>
    </w:p>
    <w:p w14:paraId="180646A0" w14:textId="77777777" w:rsidR="00F303A3" w:rsidRPr="00E4100B" w:rsidRDefault="00F303A3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</w:p>
    <w:p w14:paraId="34A9CF65" w14:textId="1A67B52A" w:rsidR="00C12E8E" w:rsidRPr="00E4100B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Cs/>
          <w:color w:val="000000" w:themeColor="text1"/>
          <w:spacing w:val="5"/>
          <w:kern w:val="28"/>
          <w:sz w:val="22"/>
          <w:szCs w:val="22"/>
          <w:u w:color="464646"/>
          <w:lang w:val="de-DE"/>
        </w:rPr>
      </w:pPr>
      <w:r w:rsidRPr="00E4100B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de-DE"/>
        </w:rPr>
        <w:t>GC Europa N.V.</w:t>
      </w:r>
    </w:p>
    <w:p w14:paraId="71863812" w14:textId="77777777" w:rsidR="00C12E8E" w:rsidRPr="00E4100B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de-DE"/>
        </w:rPr>
      </w:pPr>
      <w:proofErr w:type="spellStart"/>
      <w:r w:rsidRPr="00E4100B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de-DE"/>
        </w:rPr>
        <w:t>Interleuvenlaan</w:t>
      </w:r>
      <w:proofErr w:type="spellEnd"/>
      <w:r w:rsidRPr="00E4100B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de-DE"/>
        </w:rPr>
        <w:t xml:space="preserve"> 33</w:t>
      </w:r>
    </w:p>
    <w:p w14:paraId="452202D6" w14:textId="0EB4E83E" w:rsidR="00C12E8E" w:rsidRPr="00E4100B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de-DE"/>
        </w:rPr>
      </w:pPr>
      <w:r w:rsidRPr="00E4100B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de-DE"/>
        </w:rPr>
        <w:t xml:space="preserve">3001 </w:t>
      </w:r>
      <w:r w:rsidR="00EC7FA1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de-DE"/>
        </w:rPr>
        <w:t>Leuven</w:t>
      </w:r>
    </w:p>
    <w:p w14:paraId="44D3AA60" w14:textId="6EC948AB" w:rsidR="00C12E8E" w:rsidRPr="00E4100B" w:rsidRDefault="00C12E8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de-DE"/>
        </w:rPr>
      </w:pPr>
      <w:r w:rsidRPr="00E4100B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de-DE"/>
        </w:rPr>
        <w:t>+32.16.74.10.00</w:t>
      </w:r>
      <w:r w:rsidRPr="00E4100B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de-DE"/>
        </w:rPr>
        <w:tab/>
      </w:r>
    </w:p>
    <w:p w14:paraId="3AF5C46E" w14:textId="408D2A99" w:rsidR="00567F3E" w:rsidRPr="00E4100B" w:rsidRDefault="00567F3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de-DE"/>
        </w:rPr>
      </w:pPr>
      <w:r w:rsidRPr="00E4100B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de-DE"/>
        </w:rPr>
        <w:t>https://www.gc.dental/europe</w:t>
      </w:r>
    </w:p>
    <w:p w14:paraId="17B68DE6" w14:textId="2FC4C36C" w:rsidR="000A485C" w:rsidRDefault="007D00B3" w:rsidP="004E2FB3">
      <w:pPr>
        <w:pStyle w:val="NormalWeb"/>
        <w:spacing w:before="0" w:after="0" w:line="360" w:lineRule="auto"/>
        <w:ind w:left="-990" w:right="-868"/>
        <w:rPr>
          <w:rStyle w:val="Hipervnculo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hyperlink r:id="rId10" w:history="1">
        <w:r w:rsidRPr="00631D36">
          <w:rPr>
            <w:rStyle w:val="Hipervnculo"/>
            <w:rFonts w:ascii="Avenir Next LT Pro" w:hAnsi="Avenir Next LT Pro"/>
            <w:color w:val="000000" w:themeColor="text1"/>
            <w:spacing w:val="5"/>
            <w:kern w:val="28"/>
            <w:sz w:val="22"/>
            <w:szCs w:val="22"/>
          </w:rPr>
          <w:t>info.gce@gc.dental</w:t>
        </w:r>
      </w:hyperlink>
    </w:p>
    <w:p w14:paraId="2A89CE18" w14:textId="77777777" w:rsidR="00A2121B" w:rsidRPr="00631D36" w:rsidRDefault="00A2121B" w:rsidP="004E2FB3">
      <w:pPr>
        <w:pStyle w:val="NormalWeb"/>
        <w:spacing w:before="0" w:after="0" w:line="360" w:lineRule="auto"/>
        <w:ind w:left="-990" w:right="-868"/>
        <w:rPr>
          <w:rStyle w:val="Hipervnculo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</w:p>
    <w:p w14:paraId="2AEB49FD" w14:textId="51040530" w:rsidR="00A5023C" w:rsidRDefault="00A2121B" w:rsidP="004E2FB3">
      <w:pPr>
        <w:pStyle w:val="NormalWeb"/>
        <w:spacing w:before="0" w:after="0" w:line="360" w:lineRule="auto"/>
        <w:ind w:left="-990" w:right="-868"/>
        <w:rPr>
          <w:rStyle w:val="Hipervnculo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r w:rsidRPr="00A2121B"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</w:rPr>
        <w:drawing>
          <wp:inline distT="0" distB="0" distL="0" distR="0" wp14:anchorId="15CC60E3" wp14:editId="130FE8B8">
            <wp:extent cx="4581525" cy="2924810"/>
            <wp:effectExtent l="0" t="0" r="9525" b="889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6202AA0-FF4E-4228-9F6D-C03CC1ED65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6202AA0-FF4E-4228-9F6D-C03CC1ED65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4563F" w14:textId="4D3E434D" w:rsidR="00A2121B" w:rsidRPr="00E4100B" w:rsidRDefault="00A2121B" w:rsidP="004E2FB3">
      <w:pPr>
        <w:pStyle w:val="NormalWeb"/>
        <w:spacing w:before="0" w:after="0" w:line="360" w:lineRule="auto"/>
        <w:ind w:left="-990" w:right="-868"/>
        <w:rPr>
          <w:rStyle w:val="Hipervnculo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es-ES_tradnl"/>
        </w:rPr>
      </w:pPr>
      <w:r w:rsidRPr="00E4100B">
        <w:rPr>
          <w:rStyle w:val="Hipervnculo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es-ES_tradnl"/>
        </w:rPr>
        <w:t>Aunque aumenta con la edad, el desgaste dental es un problema que ocurre en todos los grupos de edad.</w:t>
      </w:r>
    </w:p>
    <w:sectPr w:rsidR="00A2121B" w:rsidRPr="00E4100B" w:rsidSect="00375891">
      <w:headerReference w:type="default" r:id="rId12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76BE4C" w14:textId="77777777" w:rsidR="00E41C7C" w:rsidRDefault="00E41C7C">
      <w:r>
        <w:separator/>
      </w:r>
    </w:p>
  </w:endnote>
  <w:endnote w:type="continuationSeparator" w:id="0">
    <w:p w14:paraId="4B0C4E8D" w14:textId="77777777" w:rsidR="00E41C7C" w:rsidRDefault="00E41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C350D2" w14:textId="77777777" w:rsidR="00E41C7C" w:rsidRDefault="00E41C7C">
      <w:r>
        <w:separator/>
      </w:r>
    </w:p>
  </w:footnote>
  <w:footnote w:type="continuationSeparator" w:id="0">
    <w:p w14:paraId="0EA3F0FE" w14:textId="77777777" w:rsidR="00E41C7C" w:rsidRDefault="00E41C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E29D1" w14:textId="518C03B9" w:rsidR="004C48D0" w:rsidRDefault="002A1F4F">
    <w:pPr>
      <w:pStyle w:val="Encabezado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Un fondo blanco con puntos rojo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900293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2CFD"/>
    <w:rsid w:val="00027E69"/>
    <w:rsid w:val="000455B2"/>
    <w:rsid w:val="00045DA8"/>
    <w:rsid w:val="00046D80"/>
    <w:rsid w:val="000578B1"/>
    <w:rsid w:val="000713AA"/>
    <w:rsid w:val="00076EC4"/>
    <w:rsid w:val="000800FA"/>
    <w:rsid w:val="000861F8"/>
    <w:rsid w:val="000878FC"/>
    <w:rsid w:val="00096CB0"/>
    <w:rsid w:val="000A485C"/>
    <w:rsid w:val="000A7D73"/>
    <w:rsid w:val="000B0125"/>
    <w:rsid w:val="000C3B2B"/>
    <w:rsid w:val="000D1716"/>
    <w:rsid w:val="000E4999"/>
    <w:rsid w:val="00102286"/>
    <w:rsid w:val="00106786"/>
    <w:rsid w:val="00107638"/>
    <w:rsid w:val="00112618"/>
    <w:rsid w:val="001157A8"/>
    <w:rsid w:val="00116E35"/>
    <w:rsid w:val="0014534A"/>
    <w:rsid w:val="0016511A"/>
    <w:rsid w:val="00167D45"/>
    <w:rsid w:val="00176AEF"/>
    <w:rsid w:val="001B0EA6"/>
    <w:rsid w:val="001B5343"/>
    <w:rsid w:val="001B5373"/>
    <w:rsid w:val="001C1388"/>
    <w:rsid w:val="001E2384"/>
    <w:rsid w:val="001E3E8C"/>
    <w:rsid w:val="00203AFB"/>
    <w:rsid w:val="00203E9C"/>
    <w:rsid w:val="00204E47"/>
    <w:rsid w:val="00206A13"/>
    <w:rsid w:val="002107C7"/>
    <w:rsid w:val="00236B8D"/>
    <w:rsid w:val="00242D61"/>
    <w:rsid w:val="00247359"/>
    <w:rsid w:val="002649B6"/>
    <w:rsid w:val="00270FCD"/>
    <w:rsid w:val="00281E40"/>
    <w:rsid w:val="00283337"/>
    <w:rsid w:val="00291EEA"/>
    <w:rsid w:val="002974A2"/>
    <w:rsid w:val="0029758E"/>
    <w:rsid w:val="002A1F4F"/>
    <w:rsid w:val="002A4426"/>
    <w:rsid w:val="002B1183"/>
    <w:rsid w:val="002C389F"/>
    <w:rsid w:val="002D47E2"/>
    <w:rsid w:val="002F390A"/>
    <w:rsid w:val="003042DF"/>
    <w:rsid w:val="00305CA6"/>
    <w:rsid w:val="00312F6E"/>
    <w:rsid w:val="00315091"/>
    <w:rsid w:val="00317321"/>
    <w:rsid w:val="00321DE6"/>
    <w:rsid w:val="0032290E"/>
    <w:rsid w:val="00325206"/>
    <w:rsid w:val="00327168"/>
    <w:rsid w:val="00351E27"/>
    <w:rsid w:val="003602A1"/>
    <w:rsid w:val="00360843"/>
    <w:rsid w:val="00366D42"/>
    <w:rsid w:val="00375891"/>
    <w:rsid w:val="00390C9F"/>
    <w:rsid w:val="003A434A"/>
    <w:rsid w:val="003A43CF"/>
    <w:rsid w:val="003B1417"/>
    <w:rsid w:val="003B4C34"/>
    <w:rsid w:val="003C34C8"/>
    <w:rsid w:val="003C4235"/>
    <w:rsid w:val="003C645C"/>
    <w:rsid w:val="003D01E9"/>
    <w:rsid w:val="003D34D0"/>
    <w:rsid w:val="003D5E25"/>
    <w:rsid w:val="003D747E"/>
    <w:rsid w:val="003F1B6F"/>
    <w:rsid w:val="00412841"/>
    <w:rsid w:val="00426EDA"/>
    <w:rsid w:val="0043690C"/>
    <w:rsid w:val="00436D5D"/>
    <w:rsid w:val="004413E2"/>
    <w:rsid w:val="00444A98"/>
    <w:rsid w:val="00453816"/>
    <w:rsid w:val="00456F59"/>
    <w:rsid w:val="00474392"/>
    <w:rsid w:val="00480DBA"/>
    <w:rsid w:val="00481B63"/>
    <w:rsid w:val="00481DAB"/>
    <w:rsid w:val="00490941"/>
    <w:rsid w:val="0049147A"/>
    <w:rsid w:val="00492F65"/>
    <w:rsid w:val="004958AE"/>
    <w:rsid w:val="00495DD2"/>
    <w:rsid w:val="004A245C"/>
    <w:rsid w:val="004C3D5F"/>
    <w:rsid w:val="004C48D0"/>
    <w:rsid w:val="004D0FBF"/>
    <w:rsid w:val="004D3B6C"/>
    <w:rsid w:val="004D6F35"/>
    <w:rsid w:val="004E2FB3"/>
    <w:rsid w:val="00502C6F"/>
    <w:rsid w:val="0052480D"/>
    <w:rsid w:val="00533A3B"/>
    <w:rsid w:val="00552443"/>
    <w:rsid w:val="00553334"/>
    <w:rsid w:val="00567F3E"/>
    <w:rsid w:val="00572892"/>
    <w:rsid w:val="0058288B"/>
    <w:rsid w:val="00582A2E"/>
    <w:rsid w:val="00587CDE"/>
    <w:rsid w:val="00591E21"/>
    <w:rsid w:val="005A29E8"/>
    <w:rsid w:val="005D1861"/>
    <w:rsid w:val="005D562A"/>
    <w:rsid w:val="005D7797"/>
    <w:rsid w:val="005E7894"/>
    <w:rsid w:val="005F1CDD"/>
    <w:rsid w:val="00610AAC"/>
    <w:rsid w:val="006125B9"/>
    <w:rsid w:val="00614BAD"/>
    <w:rsid w:val="006155A5"/>
    <w:rsid w:val="00616A54"/>
    <w:rsid w:val="00616A77"/>
    <w:rsid w:val="00616F42"/>
    <w:rsid w:val="00617D27"/>
    <w:rsid w:val="00631D36"/>
    <w:rsid w:val="0063721E"/>
    <w:rsid w:val="00641C27"/>
    <w:rsid w:val="00642020"/>
    <w:rsid w:val="006552E8"/>
    <w:rsid w:val="006573BC"/>
    <w:rsid w:val="00657BB0"/>
    <w:rsid w:val="0066042E"/>
    <w:rsid w:val="006616BC"/>
    <w:rsid w:val="00663B73"/>
    <w:rsid w:val="00671E66"/>
    <w:rsid w:val="00681CE3"/>
    <w:rsid w:val="006822E2"/>
    <w:rsid w:val="00686B6F"/>
    <w:rsid w:val="006A03EF"/>
    <w:rsid w:val="006B3276"/>
    <w:rsid w:val="006C32FB"/>
    <w:rsid w:val="006C68FF"/>
    <w:rsid w:val="006D0C1F"/>
    <w:rsid w:val="006D2FB4"/>
    <w:rsid w:val="007011CE"/>
    <w:rsid w:val="0070518E"/>
    <w:rsid w:val="0072441C"/>
    <w:rsid w:val="00737C03"/>
    <w:rsid w:val="00775ABD"/>
    <w:rsid w:val="00776B7A"/>
    <w:rsid w:val="00776E54"/>
    <w:rsid w:val="00783624"/>
    <w:rsid w:val="007847F0"/>
    <w:rsid w:val="00794E0C"/>
    <w:rsid w:val="007973C3"/>
    <w:rsid w:val="007B054F"/>
    <w:rsid w:val="007B3D19"/>
    <w:rsid w:val="007D00B3"/>
    <w:rsid w:val="007D7D19"/>
    <w:rsid w:val="007E0547"/>
    <w:rsid w:val="007E41A8"/>
    <w:rsid w:val="007E448B"/>
    <w:rsid w:val="007F5940"/>
    <w:rsid w:val="0080482A"/>
    <w:rsid w:val="00805200"/>
    <w:rsid w:val="00807AFC"/>
    <w:rsid w:val="0081734F"/>
    <w:rsid w:val="00821D97"/>
    <w:rsid w:val="00840318"/>
    <w:rsid w:val="00850425"/>
    <w:rsid w:val="00857C3B"/>
    <w:rsid w:val="00861BC0"/>
    <w:rsid w:val="00862469"/>
    <w:rsid w:val="008663A4"/>
    <w:rsid w:val="00867C29"/>
    <w:rsid w:val="008753D9"/>
    <w:rsid w:val="00875CC1"/>
    <w:rsid w:val="00881733"/>
    <w:rsid w:val="00881F99"/>
    <w:rsid w:val="00883A8F"/>
    <w:rsid w:val="008921EB"/>
    <w:rsid w:val="0089359B"/>
    <w:rsid w:val="0089423C"/>
    <w:rsid w:val="008942A0"/>
    <w:rsid w:val="008A4046"/>
    <w:rsid w:val="008A56E8"/>
    <w:rsid w:val="008A629E"/>
    <w:rsid w:val="008A7D3D"/>
    <w:rsid w:val="008B31D4"/>
    <w:rsid w:val="008D3594"/>
    <w:rsid w:val="008D73C8"/>
    <w:rsid w:val="008E1A49"/>
    <w:rsid w:val="008F7868"/>
    <w:rsid w:val="009047ED"/>
    <w:rsid w:val="00905E3A"/>
    <w:rsid w:val="00906474"/>
    <w:rsid w:val="00911D35"/>
    <w:rsid w:val="009149F1"/>
    <w:rsid w:val="00914C1C"/>
    <w:rsid w:val="00917845"/>
    <w:rsid w:val="00933CBE"/>
    <w:rsid w:val="00934FB3"/>
    <w:rsid w:val="00960DB7"/>
    <w:rsid w:val="00962018"/>
    <w:rsid w:val="00977829"/>
    <w:rsid w:val="00981F33"/>
    <w:rsid w:val="00982440"/>
    <w:rsid w:val="00986AA8"/>
    <w:rsid w:val="00997CA1"/>
    <w:rsid w:val="009B454D"/>
    <w:rsid w:val="009C1D99"/>
    <w:rsid w:val="009D4A1F"/>
    <w:rsid w:val="009E52BD"/>
    <w:rsid w:val="00A2121B"/>
    <w:rsid w:val="00A304BF"/>
    <w:rsid w:val="00A310AE"/>
    <w:rsid w:val="00A4263C"/>
    <w:rsid w:val="00A46F12"/>
    <w:rsid w:val="00A5023C"/>
    <w:rsid w:val="00A65A6F"/>
    <w:rsid w:val="00A67AE7"/>
    <w:rsid w:val="00A7156F"/>
    <w:rsid w:val="00A7746D"/>
    <w:rsid w:val="00A80F69"/>
    <w:rsid w:val="00A844B5"/>
    <w:rsid w:val="00AC77C3"/>
    <w:rsid w:val="00AE06AA"/>
    <w:rsid w:val="00B01BEF"/>
    <w:rsid w:val="00B0266B"/>
    <w:rsid w:val="00B0362E"/>
    <w:rsid w:val="00B04612"/>
    <w:rsid w:val="00B0625B"/>
    <w:rsid w:val="00B113EF"/>
    <w:rsid w:val="00B1164E"/>
    <w:rsid w:val="00B20BBD"/>
    <w:rsid w:val="00B20FF6"/>
    <w:rsid w:val="00B449F7"/>
    <w:rsid w:val="00B734AA"/>
    <w:rsid w:val="00B80A18"/>
    <w:rsid w:val="00B8101A"/>
    <w:rsid w:val="00B85591"/>
    <w:rsid w:val="00BB5D11"/>
    <w:rsid w:val="00BD25AB"/>
    <w:rsid w:val="00BD4617"/>
    <w:rsid w:val="00BE1580"/>
    <w:rsid w:val="00BE4BC8"/>
    <w:rsid w:val="00BE5C2D"/>
    <w:rsid w:val="00BF2100"/>
    <w:rsid w:val="00C12E8E"/>
    <w:rsid w:val="00C168DB"/>
    <w:rsid w:val="00C2221D"/>
    <w:rsid w:val="00C31577"/>
    <w:rsid w:val="00C436B7"/>
    <w:rsid w:val="00C43F6C"/>
    <w:rsid w:val="00C60B64"/>
    <w:rsid w:val="00CA4627"/>
    <w:rsid w:val="00CA5DBB"/>
    <w:rsid w:val="00CC6660"/>
    <w:rsid w:val="00CD0F90"/>
    <w:rsid w:val="00D16301"/>
    <w:rsid w:val="00D21359"/>
    <w:rsid w:val="00D33936"/>
    <w:rsid w:val="00D53FA7"/>
    <w:rsid w:val="00D75E90"/>
    <w:rsid w:val="00D836FC"/>
    <w:rsid w:val="00DB49ED"/>
    <w:rsid w:val="00DB50BD"/>
    <w:rsid w:val="00DC1238"/>
    <w:rsid w:val="00DD11C7"/>
    <w:rsid w:val="00DD4ADD"/>
    <w:rsid w:val="00DE1399"/>
    <w:rsid w:val="00DF3946"/>
    <w:rsid w:val="00DF627B"/>
    <w:rsid w:val="00E00439"/>
    <w:rsid w:val="00E07420"/>
    <w:rsid w:val="00E17232"/>
    <w:rsid w:val="00E23C42"/>
    <w:rsid w:val="00E26DFB"/>
    <w:rsid w:val="00E34C95"/>
    <w:rsid w:val="00E3535A"/>
    <w:rsid w:val="00E37A44"/>
    <w:rsid w:val="00E4100B"/>
    <w:rsid w:val="00E41C7C"/>
    <w:rsid w:val="00E54570"/>
    <w:rsid w:val="00E54915"/>
    <w:rsid w:val="00E561B3"/>
    <w:rsid w:val="00E60E82"/>
    <w:rsid w:val="00E62825"/>
    <w:rsid w:val="00E675E8"/>
    <w:rsid w:val="00E767CA"/>
    <w:rsid w:val="00E833B6"/>
    <w:rsid w:val="00E97DFF"/>
    <w:rsid w:val="00EA4468"/>
    <w:rsid w:val="00EC7FA1"/>
    <w:rsid w:val="00ED2B9D"/>
    <w:rsid w:val="00ED59B2"/>
    <w:rsid w:val="00ED6B4F"/>
    <w:rsid w:val="00EE59DF"/>
    <w:rsid w:val="00EE790F"/>
    <w:rsid w:val="00EF7A1B"/>
    <w:rsid w:val="00F23933"/>
    <w:rsid w:val="00F303A3"/>
    <w:rsid w:val="00F5342D"/>
    <w:rsid w:val="00F966A1"/>
    <w:rsid w:val="00FB5078"/>
    <w:rsid w:val="00FD6DED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Sinespaciado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rFonts w:cs="Arial Unicode MS"/>
      <w:color w:val="000000"/>
      <w:u w:color="000000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1784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Prrafodelista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  <w:style w:type="character" w:styleId="Textodelmarcadordeposicin">
    <w:name w:val="Placeholder Text"/>
    <w:basedOn w:val="Fuentedeprrafopredeter"/>
    <w:uiPriority w:val="99"/>
    <w:semiHidden/>
    <w:rsid w:val="00E4100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9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mailto:info.gce@gc.denta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7ced3-6034-42ab-8086-73bcc9b2da3d">
      <Terms xmlns="http://schemas.microsoft.com/office/infopath/2007/PartnerControls"/>
    </lcf76f155ced4ddcb4097134ff3c332f>
    <TaxCatchAll xmlns="fbc17045-f088-4e89-878a-d67d32a0747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26BEF033A1640B2F93FDACFE41C08" ma:contentTypeVersion="14" ma:contentTypeDescription="Create a new document." ma:contentTypeScope="" ma:versionID="c1d17fce74a62e6705d94eadb08a3bc6">
  <xsd:schema xmlns:xsd="http://www.w3.org/2001/XMLSchema" xmlns:xs="http://www.w3.org/2001/XMLSchema" xmlns:p="http://schemas.microsoft.com/office/2006/metadata/properties" xmlns:ns2="75a7ced3-6034-42ab-8086-73bcc9b2da3d" xmlns:ns3="fbc17045-f088-4e89-878a-d67d32a07470" targetNamespace="http://schemas.microsoft.com/office/2006/metadata/properties" ma:root="true" ma:fieldsID="aeb0c62f0cef6d708b81ea80932d09c5" ns2:_="" ns3:_="">
    <xsd:import namespace="75a7ced3-6034-42ab-8086-73bcc9b2da3d"/>
    <xsd:import namespace="fbc17045-f088-4e89-878a-d67d32a07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7ced3-6034-42ab-8086-73bcc9b2d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17045-f088-4e89-878a-d67d32a074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104c7a4-25b1-4e03-823a-b857dd1905a3}" ma:internalName="TaxCatchAll" ma:showField="CatchAllData" ma:web="fbc17045-f088-4e89-878a-d67d32a07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491B47-71A0-4897-B3E7-F10264C99DCF}">
  <ds:schemaRefs>
    <ds:schemaRef ds:uri="http://schemas.microsoft.com/office/2006/metadata/properties"/>
    <ds:schemaRef ds:uri="http://schemas.microsoft.com/office/infopath/2007/PartnerControls"/>
    <ds:schemaRef ds:uri="75a7ced3-6034-42ab-8086-73bcc9b2da3d"/>
    <ds:schemaRef ds:uri="fbc17045-f088-4e89-878a-d67d32a07470"/>
  </ds:schemaRefs>
</ds:datastoreItem>
</file>

<file path=customXml/itemProps2.xml><?xml version="1.0" encoding="utf-8"?>
<ds:datastoreItem xmlns:ds="http://schemas.openxmlformats.org/officeDocument/2006/customXml" ds:itemID="{7214B0A9-1349-473D-9F03-69A430A2D0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5F72D8-167A-4288-B73B-9E4BF19CF9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7ced3-6034-42ab-8086-73bcc9b2da3d"/>
    <ds:schemaRef ds:uri="fbc17045-f088-4e89-878a-d67d32a074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1916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Fernandez, Marisa</cp:lastModifiedBy>
  <cp:revision>5</cp:revision>
  <cp:lastPrinted>2020-01-21T15:04:00Z</cp:lastPrinted>
  <dcterms:created xsi:type="dcterms:W3CDTF">2025-12-01T08:07:00Z</dcterms:created>
  <dcterms:modified xsi:type="dcterms:W3CDTF">2025-12-01T15:58:00Z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0x010100C0C26BEF033A1640B2F93FDACFE41C08</vt:lpwstr>
  </property>
  <property fmtid="{D5CDD505-2E9C-101B-9397-08002B2CF9AE}" pid="3" name="Order">
    <vt:r8>1578000</vt:r8>
  </property>
  <property fmtid="{D5CDD505-2E9C-101B-9397-08002B2CF9AE}" pid="4" name="MediaServiceImageTags">
    <vt:lpwstr/>
  </property>
</Properties>
</file>