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025AC4" w:rsidRDefault="004E2FB3" w:rsidP="004E2FB3">
      <w:pPr>
        <w:spacing w:line="360" w:lineRule="auto"/>
        <w:ind w:left="-990" w:right="-868"/>
        <w:rPr>
          <w:rFonts w:ascii="Avenir Next LT Pro" w:eastAsia="Verdana" w:hAnsi="Avenir Next LT Pro" w:cs="Verdana"/>
          <w:b/>
          <w:bCs/>
          <w:color w:val="000000" w:themeColor="text1"/>
          <w:sz w:val="30"/>
          <w:szCs w:val="30"/>
          <w:lang w:val="fr-FR"/>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1A98"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025AC4">
        <w:rPr>
          <w:rFonts w:ascii="Avenir Next LT Pro" w:hAnsi="Avenir Next LT Pro"/>
          <w:b/>
          <w:bCs/>
          <w:color w:val="000000" w:themeColor="text1"/>
          <w:sz w:val="30"/>
          <w:szCs w:val="30"/>
          <w:lang w:val="fr-FR"/>
        </w:rPr>
        <w:t>Press release</w:t>
      </w:r>
    </w:p>
    <w:p w14:paraId="0C69B5D1" w14:textId="77777777" w:rsidR="00270FCD" w:rsidRPr="00025AC4" w:rsidRDefault="00270FCD" w:rsidP="004E2FB3">
      <w:pPr>
        <w:spacing w:line="360" w:lineRule="auto"/>
        <w:ind w:left="-990" w:right="-868"/>
        <w:jc w:val="both"/>
        <w:rPr>
          <w:rFonts w:ascii="Avenir Next LT Pro" w:eastAsia="Verdana" w:hAnsi="Avenir Next LT Pro" w:cs="Verdana"/>
          <w:color w:val="000000" w:themeColor="text1"/>
          <w:u w:val="single"/>
          <w:lang w:val="fr-FR"/>
        </w:rPr>
      </w:pPr>
    </w:p>
    <w:p w14:paraId="2EE6D9DB" w14:textId="77777777" w:rsidR="007F5940" w:rsidRPr="00025AC4" w:rsidRDefault="007F5940" w:rsidP="001A2C74">
      <w:pPr>
        <w:spacing w:line="360" w:lineRule="auto"/>
        <w:ind w:right="-868"/>
        <w:rPr>
          <w:rFonts w:ascii="Avenir Next LT Pro" w:eastAsia="Verdana" w:hAnsi="Avenir Next LT Pro" w:cs="Verdana"/>
          <w:color w:val="000000" w:themeColor="text1"/>
          <w:lang w:val="fr-FR"/>
        </w:rPr>
      </w:pPr>
    </w:p>
    <w:p w14:paraId="462521E6" w14:textId="77777777" w:rsidR="001A2C74" w:rsidRDefault="001A2C74" w:rsidP="001A2C74">
      <w:pPr>
        <w:spacing w:line="360" w:lineRule="auto"/>
        <w:ind w:left="-990" w:right="-868"/>
        <w:rPr>
          <w:rFonts w:ascii="Avenir Next LT Pro" w:eastAsia="Verdana" w:hAnsi="Avenir Next LT Pro" w:cs="Verdana"/>
          <w:color w:val="000000" w:themeColor="text1"/>
          <w:lang w:val="fr-FR"/>
        </w:rPr>
      </w:pPr>
      <w:r>
        <w:rPr>
          <w:rFonts w:ascii="Avenir Next LT Pro" w:eastAsia="Verdana" w:hAnsi="Avenir Next LT Pro" w:cs="Verdana"/>
          <w:color w:val="000000" w:themeColor="text1"/>
          <w:lang w:val="fr-FR"/>
        </w:rPr>
        <w:t xml:space="preserve">Nouvelle campagne GC </w:t>
      </w:r>
    </w:p>
    <w:p w14:paraId="31C78DA3" w14:textId="6CBA8C41" w:rsidR="00E073C8" w:rsidRPr="00025AC4" w:rsidRDefault="003863C3" w:rsidP="001A2C74">
      <w:pPr>
        <w:spacing w:line="360" w:lineRule="auto"/>
        <w:ind w:left="-990" w:right="-868"/>
        <w:rPr>
          <w:rFonts w:ascii="Avenir Next LT Pro" w:eastAsia="Verdana" w:hAnsi="Avenir Next LT Pro" w:cs="Verdana"/>
          <w:b/>
          <w:bCs/>
          <w:color w:val="000000" w:themeColor="text1"/>
          <w:lang w:val="fr-FR"/>
        </w:rPr>
      </w:pPr>
      <w:r>
        <w:rPr>
          <w:rFonts w:ascii="Avenir Next LT Pro" w:eastAsia="Verdana" w:hAnsi="Avenir Next LT Pro" w:cs="Verdana"/>
          <w:b/>
          <w:bCs/>
          <w:color w:val="000000" w:themeColor="text1"/>
          <w:lang w:val="fr-FR"/>
        </w:rPr>
        <w:t>Les a</w:t>
      </w:r>
      <w:r w:rsidR="00E073C8" w:rsidRPr="001A2C74">
        <w:rPr>
          <w:rFonts w:ascii="Avenir Next LT Pro" w:eastAsia="Verdana" w:hAnsi="Avenir Next LT Pro" w:cs="Verdana"/>
          <w:b/>
          <w:bCs/>
          <w:color w:val="000000" w:themeColor="text1"/>
          <w:lang w:val="fr-FR"/>
        </w:rPr>
        <w:t xml:space="preserve">pproches </w:t>
      </w:r>
      <w:r>
        <w:rPr>
          <w:rFonts w:ascii="Avenir Next LT Pro" w:eastAsia="Verdana" w:hAnsi="Avenir Next LT Pro" w:cs="Verdana"/>
          <w:b/>
          <w:bCs/>
          <w:color w:val="000000" w:themeColor="text1"/>
          <w:lang w:val="fr-FR"/>
        </w:rPr>
        <w:t xml:space="preserve">GC en restauration </w:t>
      </w:r>
      <w:r w:rsidR="00E073C8" w:rsidRPr="001A2C74">
        <w:rPr>
          <w:rFonts w:ascii="Avenir Next LT Pro" w:eastAsia="Verdana" w:hAnsi="Avenir Next LT Pro" w:cs="Verdana"/>
          <w:b/>
          <w:bCs/>
          <w:color w:val="000000" w:themeColor="text1"/>
          <w:lang w:val="fr-FR"/>
        </w:rPr>
        <w:t xml:space="preserve">directes pour lutter contre l'usure dentaire </w:t>
      </w:r>
    </w:p>
    <w:p w14:paraId="4F917676" w14:textId="77777777" w:rsidR="00E073C8" w:rsidRPr="00025AC4" w:rsidRDefault="00E073C8" w:rsidP="00E073C8">
      <w:pPr>
        <w:spacing w:line="360" w:lineRule="auto"/>
        <w:ind w:left="-990" w:right="-868"/>
        <w:rPr>
          <w:rFonts w:ascii="Avenir Next LT Pro" w:eastAsia="Verdana" w:hAnsi="Avenir Next LT Pro" w:cs="Verdana"/>
          <w:b/>
          <w:bCs/>
          <w:color w:val="000000" w:themeColor="text1"/>
          <w:sz w:val="32"/>
          <w:szCs w:val="32"/>
          <w:lang w:val="fr-FR"/>
        </w:rPr>
      </w:pPr>
      <w:r w:rsidRPr="00025AC4">
        <w:rPr>
          <w:rFonts w:ascii="Avenir Next LT Pro" w:eastAsia="Verdana" w:hAnsi="Avenir Next LT Pro" w:cs="Verdana"/>
          <w:b/>
          <w:bCs/>
          <w:color w:val="000000" w:themeColor="text1"/>
          <w:sz w:val="32"/>
          <w:szCs w:val="32"/>
          <w:lang w:val="fr-FR"/>
        </w:rPr>
        <w:t>Du diagnostic à l'action : gestion efficace de l'usure dentaire</w:t>
      </w:r>
    </w:p>
    <w:p w14:paraId="1A7A7B50" w14:textId="77777777" w:rsidR="00E073C8" w:rsidRPr="00025AC4" w:rsidRDefault="00E073C8" w:rsidP="00E073C8">
      <w:pPr>
        <w:spacing w:line="360" w:lineRule="auto"/>
        <w:ind w:left="-990" w:right="-868"/>
        <w:rPr>
          <w:rFonts w:ascii="Avenir Next LT Pro" w:eastAsia="Verdana" w:hAnsi="Avenir Next LT Pro" w:cs="Verdana"/>
          <w:b/>
          <w:bCs/>
          <w:color w:val="000000" w:themeColor="text1"/>
          <w:lang w:val="fr-FR"/>
        </w:rPr>
      </w:pPr>
    </w:p>
    <w:p w14:paraId="0BE6B25D" w14:textId="67D97BDC" w:rsidR="006552E8" w:rsidRPr="00025AC4" w:rsidRDefault="00E073C8" w:rsidP="00E073C8">
      <w:pPr>
        <w:spacing w:line="360" w:lineRule="auto"/>
        <w:ind w:left="-990" w:right="-868"/>
        <w:rPr>
          <w:rFonts w:ascii="Avenir Next LT Pro" w:eastAsia="Verdana" w:hAnsi="Avenir Next LT Pro" w:cs="Verdana"/>
          <w:b/>
          <w:bCs/>
          <w:color w:val="000000" w:themeColor="text1"/>
          <w:lang w:val="fr-FR"/>
        </w:rPr>
      </w:pPr>
      <w:r w:rsidRPr="00025AC4">
        <w:rPr>
          <w:rFonts w:ascii="Avenir Next LT Pro" w:eastAsia="Verdana" w:hAnsi="Avenir Next LT Pro" w:cs="Verdana"/>
          <w:b/>
          <w:bCs/>
          <w:color w:val="000000" w:themeColor="text1"/>
          <w:lang w:val="fr-FR"/>
        </w:rPr>
        <w:t>L'usure dentaire est un problème croissant qui a un impact de plus en plus important sur la pratique quotidienne. On estime que 4 patients sur 10 sont touchés par une usure dentaire modérée à sévère. Avec une prévalence en hausse dans toutes les tranches d'âge, une gestion efficace n'a jamais été aussi cruciale. Les professionnels dentaires jouent un rôle essentiel en aidant les patients à gérer l'usure dentaire afin d'en réduire l'impact et d'en prévenir la progression.</w:t>
      </w:r>
    </w:p>
    <w:p w14:paraId="6259144A" w14:textId="77777777" w:rsidR="006552E8" w:rsidRPr="00025AC4" w:rsidRDefault="006552E8" w:rsidP="006616BC">
      <w:pPr>
        <w:spacing w:line="360" w:lineRule="auto"/>
        <w:ind w:left="-990" w:right="-868"/>
        <w:rPr>
          <w:rFonts w:ascii="Avenir Next LT Pro" w:eastAsia="Verdana" w:hAnsi="Avenir Next LT Pro" w:cs="Verdana"/>
          <w:color w:val="000000" w:themeColor="text1"/>
          <w:lang w:val="fr-FR"/>
        </w:rPr>
      </w:pPr>
    </w:p>
    <w:p w14:paraId="1CC68E5D" w14:textId="0B6CA177" w:rsidR="00663B73" w:rsidRPr="00025AC4" w:rsidRDefault="00E073C8" w:rsidP="00982440">
      <w:pPr>
        <w:spacing w:line="360" w:lineRule="auto"/>
        <w:ind w:left="-990" w:right="-868"/>
        <w:rPr>
          <w:rFonts w:ascii="Avenir Next LT Pro" w:eastAsia="Verdana" w:hAnsi="Avenir Next LT Pro" w:cs="Verdana"/>
          <w:color w:val="000000" w:themeColor="text1"/>
          <w:lang w:val="fr-FR"/>
        </w:rPr>
      </w:pPr>
      <w:r w:rsidRPr="00025AC4">
        <w:rPr>
          <w:rFonts w:ascii="Avenir Next LT Pro" w:eastAsia="Verdana" w:hAnsi="Avenir Next LT Pro" w:cs="Verdana"/>
          <w:color w:val="000000" w:themeColor="text1"/>
          <w:lang w:val="fr-FR"/>
        </w:rPr>
        <w:t>GC s'engage à soutenir les professionnels dentaires dans la gestion de l'usure dentaire en leur fournissant des solutions et des ressources pratiques. Cette initiative comprend des cours dispensés par des experts, des articles approfondis, des interviews pertinentes et des webinaires interactifs, tous conçus pour fournir aux professionnels dentaires les connaissances et les outils dont ils ont besoin pour minimiser l'impact de l'usure dentaire et prévenir sa progression.</w:t>
      </w:r>
    </w:p>
    <w:p w14:paraId="4FDE3CB3" w14:textId="5B23EC67" w:rsidR="00E073C8" w:rsidRPr="00025AC4" w:rsidRDefault="00E073C8" w:rsidP="00982440">
      <w:pPr>
        <w:spacing w:line="360" w:lineRule="auto"/>
        <w:ind w:left="-990" w:right="-868"/>
        <w:rPr>
          <w:rFonts w:ascii="Avenir Next LT Pro" w:eastAsia="Verdana" w:hAnsi="Avenir Next LT Pro" w:cs="Verdana"/>
          <w:color w:val="000000" w:themeColor="text1"/>
          <w:lang w:val="fr-FR"/>
        </w:rPr>
      </w:pPr>
      <w:r w:rsidRPr="00025AC4">
        <w:rPr>
          <w:rFonts w:ascii="Avenir Next LT Pro" w:eastAsia="Verdana" w:hAnsi="Avenir Next LT Pro" w:cs="Verdana"/>
          <w:color w:val="000000" w:themeColor="text1"/>
          <w:lang w:val="fr-FR"/>
        </w:rPr>
        <w:t>Au cours des premiers mois, nous allons explorer les causes et les stratégies clés pour gérer l'usure dentaire modérée, avant de passer plus tard dans l'année à l'étude plus poussée de l'usure sévère.</w:t>
      </w:r>
    </w:p>
    <w:p w14:paraId="6A38D3AD" w14:textId="77777777" w:rsidR="00E073C8" w:rsidRPr="00025AC4" w:rsidRDefault="00E073C8" w:rsidP="00982440">
      <w:pPr>
        <w:spacing w:line="360" w:lineRule="auto"/>
        <w:ind w:left="-990" w:right="-868"/>
        <w:rPr>
          <w:rFonts w:ascii="Avenir Next LT Pro" w:eastAsia="Verdana" w:hAnsi="Avenir Next LT Pro" w:cs="Verdana"/>
          <w:color w:val="000000" w:themeColor="text1"/>
          <w:lang w:val="fr-FR"/>
        </w:rPr>
      </w:pPr>
    </w:p>
    <w:p w14:paraId="05F691B6" w14:textId="77777777" w:rsidR="00E073C8" w:rsidRPr="00025AC4" w:rsidRDefault="00E073C8" w:rsidP="00982440">
      <w:pPr>
        <w:spacing w:line="360" w:lineRule="auto"/>
        <w:ind w:left="-990" w:right="-868"/>
        <w:rPr>
          <w:rFonts w:ascii="Avenir Next LT Pro" w:eastAsia="Verdana" w:hAnsi="Avenir Next LT Pro" w:cs="Verdana"/>
          <w:color w:val="000000" w:themeColor="text1"/>
          <w:lang w:val="fr-FR"/>
        </w:rPr>
      </w:pPr>
    </w:p>
    <w:p w14:paraId="0CA42F11" w14:textId="77777777" w:rsidR="00E073C8" w:rsidRPr="00025AC4" w:rsidRDefault="00E073C8" w:rsidP="00E073C8">
      <w:pPr>
        <w:spacing w:line="360" w:lineRule="auto"/>
        <w:ind w:left="-990" w:right="-868"/>
        <w:rPr>
          <w:rFonts w:ascii="Avenir Next LT Pro" w:eastAsia="Verdana" w:hAnsi="Avenir Next LT Pro" w:cs="Verdana"/>
          <w:color w:val="000000" w:themeColor="text1"/>
          <w:lang w:val="fr-FR"/>
        </w:rPr>
      </w:pPr>
    </w:p>
    <w:p w14:paraId="11AE64A3" w14:textId="7EFA0A11" w:rsidR="00E073C8" w:rsidRPr="00025AC4" w:rsidRDefault="00E073C8" w:rsidP="00E073C8">
      <w:pPr>
        <w:spacing w:line="360" w:lineRule="auto"/>
        <w:ind w:left="-990" w:right="-868"/>
        <w:rPr>
          <w:rFonts w:ascii="Avenir Next LT Pro" w:eastAsia="Verdana" w:hAnsi="Avenir Next LT Pro" w:cs="Verdana"/>
          <w:color w:val="000000" w:themeColor="text1"/>
          <w:lang w:val="fr-FR"/>
        </w:rPr>
      </w:pPr>
      <w:r w:rsidRPr="00025AC4">
        <w:rPr>
          <w:rFonts w:ascii="Avenir Next LT Pro" w:eastAsia="Verdana" w:hAnsi="Avenir Next LT Pro" w:cs="Verdana"/>
          <w:color w:val="000000" w:themeColor="text1"/>
          <w:lang w:val="fr-FR"/>
        </w:rPr>
        <w:t>« Notre objectif est de fournir aux praticiens</w:t>
      </w:r>
      <w:r w:rsidR="00025AC4">
        <w:rPr>
          <w:rFonts w:ascii="Avenir Next LT Pro" w:eastAsia="Verdana" w:hAnsi="Avenir Next LT Pro" w:cs="Verdana"/>
          <w:color w:val="000000" w:themeColor="text1"/>
          <w:lang w:val="fr-FR"/>
        </w:rPr>
        <w:t xml:space="preserve"> </w:t>
      </w:r>
      <w:r w:rsidRPr="00025AC4">
        <w:rPr>
          <w:rFonts w:ascii="Avenir Next LT Pro" w:eastAsia="Verdana" w:hAnsi="Avenir Next LT Pro" w:cs="Verdana"/>
          <w:color w:val="000000" w:themeColor="text1"/>
          <w:lang w:val="fr-FR"/>
        </w:rPr>
        <w:t>des solutions fondées sur des preuves et des conseils pratiques pouvant être appliqués dans leur pratique quotidienne », a déclaré Earta Lauka, responsable de la division composites de restauration chez GC Europe. « Nous souhaitons présenter et expliquer différentes approches, afin de donner aux dentistes les informations dont ils ont besoin pour choisir la meilleure option pour leurs patients. »</w:t>
      </w:r>
    </w:p>
    <w:p w14:paraId="6A57834D" w14:textId="77777777" w:rsidR="00E073C8" w:rsidRPr="00025AC4" w:rsidRDefault="00E073C8" w:rsidP="00E073C8">
      <w:pPr>
        <w:spacing w:line="360" w:lineRule="auto"/>
        <w:ind w:left="-990" w:right="-868"/>
        <w:rPr>
          <w:rFonts w:ascii="Avenir Next LT Pro" w:eastAsia="Verdana" w:hAnsi="Avenir Next LT Pro" w:cs="Verdana"/>
          <w:color w:val="000000" w:themeColor="text1"/>
          <w:lang w:val="fr-FR"/>
        </w:rPr>
      </w:pPr>
      <w:r w:rsidRPr="00025AC4">
        <w:rPr>
          <w:rFonts w:ascii="Avenir Next LT Pro" w:eastAsia="Verdana" w:hAnsi="Avenir Next LT Pro" w:cs="Verdana"/>
          <w:color w:val="000000" w:themeColor="text1"/>
          <w:lang w:val="fr-FR"/>
        </w:rPr>
        <w:t>Cette campagne reflète l'engagement continu de GC en faveur de l'innovation et de la formation dans le domaine des soins bucco-dentaires. En participant à ce programme, les équipes dentaires peuvent rester à la pointe des nouvelles tendances et offrir à leurs patients des soins de la plus haute qualité.</w:t>
      </w:r>
    </w:p>
    <w:p w14:paraId="7C452324" w14:textId="77777777" w:rsidR="00E073C8" w:rsidRPr="00025AC4" w:rsidRDefault="00E073C8" w:rsidP="00E073C8">
      <w:pPr>
        <w:spacing w:line="360" w:lineRule="auto"/>
        <w:ind w:left="-990" w:right="-868"/>
        <w:rPr>
          <w:rFonts w:ascii="Avenir Next LT Pro" w:eastAsia="Verdana" w:hAnsi="Avenir Next LT Pro" w:cs="Verdana"/>
          <w:color w:val="000000" w:themeColor="text1"/>
          <w:lang w:val="fr-FR"/>
        </w:rPr>
      </w:pPr>
    </w:p>
    <w:p w14:paraId="254F9DC9" w14:textId="33EAF0D2" w:rsidR="00D836FC" w:rsidRPr="00025AC4" w:rsidRDefault="00E073C8" w:rsidP="00E073C8">
      <w:pPr>
        <w:spacing w:line="360" w:lineRule="auto"/>
        <w:ind w:left="-990" w:right="-868"/>
        <w:rPr>
          <w:rFonts w:ascii="Avenir Next LT Pro" w:eastAsia="Verdana" w:hAnsi="Avenir Next LT Pro" w:cs="Verdana"/>
          <w:color w:val="000000" w:themeColor="text1"/>
          <w:lang w:val="fr-FR"/>
        </w:rPr>
      </w:pPr>
      <w:r w:rsidRPr="00025AC4">
        <w:rPr>
          <w:rFonts w:ascii="Avenir Next LT Pro" w:eastAsia="Verdana" w:hAnsi="Avenir Next LT Pro" w:cs="Verdana"/>
          <w:color w:val="000000" w:themeColor="text1"/>
          <w:lang w:val="fr-FR"/>
        </w:rPr>
        <w:t xml:space="preserve">Pour plus d'informations consulter </w:t>
      </w:r>
      <w:r w:rsidR="00D836FC" w:rsidRPr="00025AC4">
        <w:rPr>
          <w:rFonts w:ascii="Avenir Next LT Pro" w:eastAsia="Verdana" w:hAnsi="Avenir Next LT Pro" w:cs="Verdana"/>
          <w:color w:val="000000" w:themeColor="text1"/>
          <w:lang w:val="fr-FR"/>
        </w:rPr>
        <w:t xml:space="preserve">: </w:t>
      </w:r>
      <w:r w:rsidR="003C4235" w:rsidRPr="00025AC4">
        <w:rPr>
          <w:rFonts w:ascii="Avenir Next LT Pro" w:eastAsia="Verdana" w:hAnsi="Avenir Next LT Pro" w:cs="Verdana"/>
          <w:color w:val="000000" w:themeColor="text1"/>
          <w:lang w:val="fr-FR"/>
        </w:rPr>
        <w:t>https://campaigns-gceurope.com/wear-solutions</w:t>
      </w:r>
    </w:p>
    <w:p w14:paraId="180646A0" w14:textId="77777777" w:rsidR="00F303A3" w:rsidRPr="00025AC4" w:rsidRDefault="00F303A3" w:rsidP="00C436B7">
      <w:pPr>
        <w:spacing w:line="360" w:lineRule="auto"/>
        <w:ind w:left="-990" w:right="-868"/>
        <w:rPr>
          <w:rFonts w:ascii="Avenir Next LT Pro" w:eastAsia="Verdana" w:hAnsi="Avenir Next LT Pro" w:cs="Verdana"/>
          <w:color w:val="000000" w:themeColor="text1"/>
          <w:lang w:val="fr-FR"/>
        </w:rPr>
      </w:pPr>
    </w:p>
    <w:p w14:paraId="34A9CF65" w14:textId="1A67B52A" w:rsidR="00C12E8E" w:rsidRPr="009B454D"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9B454D">
        <w:rPr>
          <w:rFonts w:ascii="Avenir Next LT Pro" w:hAnsi="Avenir Next LT Pro"/>
          <w:bCs/>
          <w:color w:val="000000" w:themeColor="text1"/>
          <w:spacing w:val="5"/>
          <w:kern w:val="28"/>
          <w:sz w:val="22"/>
          <w:szCs w:val="22"/>
          <w:u w:color="464646"/>
          <w:lang w:val="fr-FR"/>
        </w:rPr>
        <w:t>GC Europe N.V.</w:t>
      </w:r>
    </w:p>
    <w:p w14:paraId="71863812"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Interleuvenlaan 33</w:t>
      </w:r>
    </w:p>
    <w:p w14:paraId="452202D6"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3001 Leuven</w:t>
      </w:r>
    </w:p>
    <w:p w14:paraId="44D3AA60" w14:textId="6EC948AB" w:rsidR="00C12E8E" w:rsidRPr="00631D36"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+32.16.74.10.00</w:t>
      </w:r>
      <w:r w:rsidRPr="00631D36">
        <w:rPr>
          <w:rFonts w:ascii="Avenir Next LT Pro" w:hAnsi="Avenir Next LT Pro"/>
          <w:color w:val="000000" w:themeColor="text1"/>
          <w:spacing w:val="5"/>
          <w:kern w:val="28"/>
          <w:sz w:val="22"/>
          <w:szCs w:val="22"/>
          <w:u w:color="464646"/>
          <w:lang w:val="fr-FR"/>
        </w:rPr>
        <w:tab/>
      </w:r>
    </w:p>
    <w:p w14:paraId="3AF5C46E" w14:textId="408D2A99" w:rsidR="00567F3E" w:rsidRPr="00631D36"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hyperlink r:id="rId10" w:history="1">
        <w:r w:rsidRPr="00631D36">
          <w:rPr>
            <w:rStyle w:val="Lienhypertexte"/>
            <w:rFonts w:ascii="Avenir Next LT Pro" w:hAnsi="Avenir Next LT Pro"/>
            <w:color w:val="000000" w:themeColor="text1"/>
            <w:spacing w:val="5"/>
            <w:kern w:val="28"/>
            <w:sz w:val="22"/>
            <w:szCs w:val="22"/>
            <w:lang w:val="fr-FR"/>
          </w:rPr>
          <w:t>info.gce@gc.dental</w:t>
        </w:r>
      </w:hyperlink>
    </w:p>
    <w:p w14:paraId="2A89CE18" w14:textId="77777777" w:rsidR="00A2121B" w:rsidRPr="00631D36" w:rsidRDefault="00A2121B"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p>
    <w:p w14:paraId="2AEB49FD" w14:textId="51040530" w:rsidR="00A5023C" w:rsidRDefault="00A2121B"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r w:rsidRPr="00A2121B">
        <w:rPr>
          <w:rFonts w:ascii="Avenir Next LT Pro" w:hAnsi="Avenir Next LT Pro"/>
          <w:noProof/>
          <w:color w:val="000000" w:themeColor="text1"/>
          <w:spacing w:val="5"/>
          <w:kern w:val="28"/>
          <w:sz w:val="22"/>
          <w:szCs w:val="22"/>
        </w:rPr>
        <w:lastRenderedPageBreak/>
        <w:drawing>
          <wp:inline distT="0" distB="0" distL="0" distR="0" wp14:anchorId="15CC60E3" wp14:editId="130FE8B8">
            <wp:extent cx="4581525" cy="2924810"/>
            <wp:effectExtent l="0" t="0" r="9525" b="8890"/>
            <wp:docPr id="4" name="Picture 3">
              <a:extLst xmlns:a="http://schemas.openxmlformats.org/drawingml/2006/main">
                <a:ext uri="{FF2B5EF4-FFF2-40B4-BE49-F238E27FC236}">
                  <a16:creationId xmlns:a16="http://schemas.microsoft.com/office/drawing/2014/main" id="{E6202AA0-FF4E-4228-9F6D-C03CC1ED6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202AA0-FF4E-4228-9F6D-C03CC1ED65FA}"/>
                        </a:ext>
                      </a:extLst>
                    </pic:cNvPr>
                    <pic:cNvPicPr>
                      <a:picLocks noChangeAspect="1"/>
                    </pic:cNvPicPr>
                  </pic:nvPicPr>
                  <pic:blipFill>
                    <a:blip r:embed="rId11"/>
                    <a:stretch>
                      <a:fillRect/>
                    </a:stretch>
                  </pic:blipFill>
                  <pic:spPr>
                    <a:xfrm>
                      <a:off x="0" y="0"/>
                      <a:ext cx="4581525" cy="2924810"/>
                    </a:xfrm>
                    <a:prstGeom prst="rect">
                      <a:avLst/>
                    </a:prstGeom>
                  </pic:spPr>
                </pic:pic>
              </a:graphicData>
            </a:graphic>
          </wp:inline>
        </w:drawing>
      </w:r>
    </w:p>
    <w:p w14:paraId="5664563F" w14:textId="7EDDD237" w:rsidR="00A2121B" w:rsidRPr="00A2121B" w:rsidRDefault="001A2C74" w:rsidP="004E2FB3">
      <w:pPr>
        <w:pStyle w:val="NormalWeb"/>
        <w:spacing w:before="0" w:after="0" w:line="360" w:lineRule="auto"/>
        <w:ind w:left="-990" w:right="-868"/>
        <w:rPr>
          <w:rStyle w:val="Lienhypertexte"/>
          <w:rFonts w:ascii="Avenir Next LT Pro" w:hAnsi="Avenir Next LT Pro"/>
          <w:b/>
          <w:bCs/>
          <w:color w:val="000000" w:themeColor="text1"/>
          <w:spacing w:val="5"/>
          <w:kern w:val="28"/>
          <w:sz w:val="20"/>
          <w:szCs w:val="20"/>
          <w:u w:val="none"/>
        </w:rPr>
      </w:pPr>
      <w:r>
        <w:rPr>
          <w:rStyle w:val="ts-alignment-element"/>
          <w:rFonts w:ascii="Segoe UI" w:hAnsi="Segoe UI" w:cs="Segoe UI"/>
          <w:sz w:val="18"/>
          <w:szCs w:val="18"/>
        </w:rPr>
        <w:t>Bien</w:t>
      </w:r>
      <w:r>
        <w:rPr>
          <w:rFonts w:ascii="Segoe UI" w:hAnsi="Segoe UI" w:cs="Segoe UI"/>
          <w:sz w:val="18"/>
          <w:szCs w:val="18"/>
        </w:rPr>
        <w:t xml:space="preserve"> qu</w:t>
      </w:r>
      <w:r>
        <w:rPr>
          <w:rStyle w:val="ts-alignment-element"/>
          <w:rFonts w:ascii="Segoe UI" w:hAnsi="Segoe UI" w:cs="Segoe UI"/>
          <w:sz w:val="18"/>
          <w:szCs w:val="18"/>
        </w:rPr>
        <w:t>’elle</w:t>
      </w:r>
      <w:r>
        <w:rPr>
          <w:rFonts w:ascii="Segoe UI" w:hAnsi="Segoe UI" w:cs="Segoe UI"/>
          <w:sz w:val="18"/>
          <w:szCs w:val="18"/>
        </w:rPr>
        <w:t xml:space="preserve"> </w:t>
      </w:r>
      <w:r>
        <w:rPr>
          <w:rStyle w:val="ts-alignment-element"/>
          <w:rFonts w:ascii="Segoe UI" w:hAnsi="Segoe UI" w:cs="Segoe UI"/>
          <w:sz w:val="18"/>
          <w:szCs w:val="18"/>
        </w:rPr>
        <w:t>augmente</w:t>
      </w:r>
      <w:r>
        <w:rPr>
          <w:rFonts w:ascii="Segoe UI" w:hAnsi="Segoe UI" w:cs="Segoe UI"/>
          <w:sz w:val="18"/>
          <w:szCs w:val="18"/>
        </w:rPr>
        <w:t xml:space="preserve"> </w:t>
      </w:r>
      <w:r>
        <w:rPr>
          <w:rStyle w:val="ts-alignment-element"/>
          <w:rFonts w:ascii="Segoe UI" w:hAnsi="Segoe UI" w:cs="Segoe UI"/>
          <w:sz w:val="18"/>
          <w:szCs w:val="18"/>
        </w:rPr>
        <w:t>avec</w:t>
      </w:r>
      <w:r>
        <w:rPr>
          <w:rFonts w:ascii="Segoe UI" w:hAnsi="Segoe UI" w:cs="Segoe UI"/>
          <w:sz w:val="18"/>
          <w:szCs w:val="18"/>
        </w:rPr>
        <w:t xml:space="preserve"> </w:t>
      </w:r>
      <w:r>
        <w:rPr>
          <w:rStyle w:val="ts-alignment-element"/>
          <w:rFonts w:ascii="Segoe UI" w:hAnsi="Segoe UI" w:cs="Segoe UI"/>
          <w:sz w:val="18"/>
          <w:szCs w:val="18"/>
        </w:rPr>
        <w:t>l’âge,</w:t>
      </w:r>
      <w:r>
        <w:rPr>
          <w:rFonts w:ascii="Segoe UI" w:hAnsi="Segoe UI" w:cs="Segoe UI"/>
          <w:sz w:val="18"/>
          <w:szCs w:val="18"/>
        </w:rPr>
        <w:t xml:space="preserve"> </w:t>
      </w:r>
      <w:r>
        <w:rPr>
          <w:rStyle w:val="ts-alignment-element"/>
          <w:rFonts w:ascii="Segoe UI" w:hAnsi="Segoe UI" w:cs="Segoe UI"/>
          <w:sz w:val="18"/>
          <w:szCs w:val="18"/>
        </w:rPr>
        <w:t>l</w:t>
      </w:r>
      <w:r>
        <w:rPr>
          <w:rFonts w:ascii="Segoe UI" w:hAnsi="Segoe UI" w:cs="Segoe UI"/>
          <w:sz w:val="18"/>
          <w:szCs w:val="18"/>
        </w:rPr>
        <w:t>’</w:t>
      </w:r>
      <w:r>
        <w:rPr>
          <w:rStyle w:val="ts-alignment-element-highlighted"/>
          <w:rFonts w:ascii="Segoe UI" w:hAnsi="Segoe UI" w:cs="Segoe UI"/>
          <w:sz w:val="18"/>
          <w:szCs w:val="18"/>
          <w:shd w:val="clear" w:color="auto" w:fill="D4D4D4"/>
        </w:rPr>
        <w:t>usure</w:t>
      </w:r>
      <w:r>
        <w:rPr>
          <w:rFonts w:ascii="Segoe UI" w:hAnsi="Segoe UI" w:cs="Segoe UI"/>
          <w:sz w:val="18"/>
          <w:szCs w:val="18"/>
        </w:rPr>
        <w:t xml:space="preserve"> </w:t>
      </w:r>
      <w:r>
        <w:rPr>
          <w:rStyle w:val="ts-alignment-element"/>
          <w:rFonts w:ascii="Segoe UI" w:hAnsi="Segoe UI" w:cs="Segoe UI"/>
          <w:sz w:val="18"/>
          <w:szCs w:val="18"/>
        </w:rPr>
        <w:t>des</w:t>
      </w:r>
      <w:r>
        <w:rPr>
          <w:rFonts w:ascii="Segoe UI" w:hAnsi="Segoe UI" w:cs="Segoe UI"/>
          <w:sz w:val="18"/>
          <w:szCs w:val="18"/>
        </w:rPr>
        <w:t xml:space="preserve"> </w:t>
      </w:r>
      <w:r>
        <w:rPr>
          <w:rStyle w:val="ts-alignment-element"/>
          <w:rFonts w:ascii="Segoe UI" w:hAnsi="Segoe UI" w:cs="Segoe UI"/>
          <w:sz w:val="18"/>
          <w:szCs w:val="18"/>
        </w:rPr>
        <w:t>dents</w:t>
      </w:r>
      <w:r>
        <w:rPr>
          <w:rFonts w:ascii="Segoe UI" w:hAnsi="Segoe UI" w:cs="Segoe UI"/>
          <w:sz w:val="18"/>
          <w:szCs w:val="18"/>
        </w:rPr>
        <w:t xml:space="preserve"> </w:t>
      </w:r>
      <w:r>
        <w:rPr>
          <w:rStyle w:val="ts-alignment-element"/>
          <w:rFonts w:ascii="Segoe UI" w:hAnsi="Segoe UI" w:cs="Segoe UI"/>
          <w:sz w:val="18"/>
          <w:szCs w:val="18"/>
        </w:rPr>
        <w:t>est</w:t>
      </w:r>
      <w:r>
        <w:rPr>
          <w:rFonts w:ascii="Segoe UI" w:hAnsi="Segoe UI" w:cs="Segoe UI"/>
          <w:sz w:val="18"/>
          <w:szCs w:val="18"/>
        </w:rPr>
        <w:t xml:space="preserve"> </w:t>
      </w:r>
      <w:r>
        <w:rPr>
          <w:rStyle w:val="ts-alignment-element"/>
          <w:rFonts w:ascii="Segoe UI" w:hAnsi="Segoe UI" w:cs="Segoe UI"/>
          <w:sz w:val="18"/>
          <w:szCs w:val="18"/>
        </w:rPr>
        <w:t>un</w:t>
      </w:r>
      <w:r>
        <w:rPr>
          <w:rFonts w:ascii="Segoe UI" w:hAnsi="Segoe UI" w:cs="Segoe UI"/>
          <w:sz w:val="18"/>
          <w:szCs w:val="18"/>
        </w:rPr>
        <w:t xml:space="preserve"> </w:t>
      </w:r>
      <w:r>
        <w:rPr>
          <w:rStyle w:val="ts-alignment-element"/>
          <w:rFonts w:ascii="Segoe UI" w:hAnsi="Segoe UI" w:cs="Segoe UI"/>
          <w:sz w:val="18"/>
          <w:szCs w:val="18"/>
        </w:rPr>
        <w:t>problème</w:t>
      </w:r>
      <w:r>
        <w:rPr>
          <w:rFonts w:ascii="Segoe UI" w:hAnsi="Segoe UI" w:cs="Segoe UI"/>
          <w:sz w:val="18"/>
          <w:szCs w:val="18"/>
        </w:rPr>
        <w:t xml:space="preserve"> </w:t>
      </w:r>
      <w:r>
        <w:rPr>
          <w:rStyle w:val="ts-alignment-element"/>
          <w:rFonts w:ascii="Segoe UI" w:hAnsi="Segoe UI" w:cs="Segoe UI"/>
          <w:sz w:val="18"/>
          <w:szCs w:val="18"/>
        </w:rPr>
        <w:t>qui</w:t>
      </w:r>
      <w:r>
        <w:rPr>
          <w:rFonts w:ascii="Segoe UI" w:hAnsi="Segoe UI" w:cs="Segoe UI"/>
          <w:sz w:val="18"/>
          <w:szCs w:val="18"/>
        </w:rPr>
        <w:t xml:space="preserve"> </w:t>
      </w:r>
      <w:r>
        <w:rPr>
          <w:rStyle w:val="ts-alignment-element"/>
          <w:rFonts w:ascii="Segoe UI" w:hAnsi="Segoe UI" w:cs="Segoe UI"/>
          <w:sz w:val="18"/>
          <w:szCs w:val="18"/>
        </w:rPr>
        <w:t>survient</w:t>
      </w:r>
      <w:r>
        <w:rPr>
          <w:rFonts w:ascii="Segoe UI" w:hAnsi="Segoe UI" w:cs="Segoe UI"/>
          <w:sz w:val="18"/>
          <w:szCs w:val="18"/>
        </w:rPr>
        <w:t xml:space="preserve"> </w:t>
      </w:r>
      <w:r>
        <w:rPr>
          <w:rStyle w:val="ts-alignment-element"/>
          <w:rFonts w:ascii="Segoe UI" w:hAnsi="Segoe UI" w:cs="Segoe UI"/>
          <w:sz w:val="18"/>
          <w:szCs w:val="18"/>
        </w:rPr>
        <w:t>dans</w:t>
      </w:r>
      <w:r>
        <w:rPr>
          <w:rFonts w:ascii="Segoe UI" w:hAnsi="Segoe UI" w:cs="Segoe UI"/>
          <w:sz w:val="18"/>
          <w:szCs w:val="18"/>
        </w:rPr>
        <w:t xml:space="preserve"> </w:t>
      </w:r>
      <w:r>
        <w:rPr>
          <w:rStyle w:val="ts-alignment-element"/>
          <w:rFonts w:ascii="Segoe UI" w:hAnsi="Segoe UI" w:cs="Segoe UI"/>
          <w:sz w:val="18"/>
          <w:szCs w:val="18"/>
        </w:rPr>
        <w:t>tous</w:t>
      </w:r>
      <w:r>
        <w:rPr>
          <w:rFonts w:ascii="Segoe UI" w:hAnsi="Segoe UI" w:cs="Segoe UI"/>
          <w:sz w:val="18"/>
          <w:szCs w:val="18"/>
        </w:rPr>
        <w:t xml:space="preserve"> </w:t>
      </w:r>
      <w:r>
        <w:rPr>
          <w:rStyle w:val="ts-alignment-element"/>
          <w:rFonts w:ascii="Segoe UI" w:hAnsi="Segoe UI" w:cs="Segoe UI"/>
          <w:sz w:val="18"/>
          <w:szCs w:val="18"/>
        </w:rPr>
        <w:t>les</w:t>
      </w:r>
      <w:r>
        <w:rPr>
          <w:rFonts w:ascii="Segoe UI" w:hAnsi="Segoe UI" w:cs="Segoe UI"/>
          <w:sz w:val="18"/>
          <w:szCs w:val="18"/>
        </w:rPr>
        <w:t xml:space="preserve"> </w:t>
      </w:r>
      <w:r>
        <w:rPr>
          <w:rStyle w:val="ts-alignment-element"/>
          <w:rFonts w:ascii="Segoe UI" w:hAnsi="Segoe UI" w:cs="Segoe UI"/>
          <w:sz w:val="18"/>
          <w:szCs w:val="18"/>
        </w:rPr>
        <w:t>groupes</w:t>
      </w:r>
      <w:r>
        <w:rPr>
          <w:rFonts w:ascii="Segoe UI" w:hAnsi="Segoe UI" w:cs="Segoe UI"/>
          <w:sz w:val="18"/>
          <w:szCs w:val="18"/>
        </w:rPr>
        <w:t xml:space="preserve"> </w:t>
      </w:r>
      <w:r>
        <w:rPr>
          <w:rStyle w:val="ts-alignment-element"/>
          <w:rFonts w:ascii="Segoe UI" w:hAnsi="Segoe UI" w:cs="Segoe UI"/>
          <w:sz w:val="18"/>
          <w:szCs w:val="18"/>
        </w:rPr>
        <w:t>d’âge.</w:t>
      </w:r>
    </w:p>
    <w:sectPr w:rsidR="00A2121B" w:rsidRPr="00A2121B" w:rsidSect="00375891">
      <w:headerReference w:type="even" r:id="rId12"/>
      <w:headerReference w:type="default" r:id="rId13"/>
      <w:footerReference w:type="even" r:id="rId14"/>
      <w:footerReference w:type="default" r:id="rId15"/>
      <w:headerReference w:type="first" r:id="rId16"/>
      <w:footerReference w:type="first" r:id="rId17"/>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41784" w14:textId="77777777" w:rsidR="005472C8" w:rsidRDefault="005472C8">
      <w:r>
        <w:separator/>
      </w:r>
    </w:p>
  </w:endnote>
  <w:endnote w:type="continuationSeparator" w:id="0">
    <w:p w14:paraId="6E0F05A6" w14:textId="77777777" w:rsidR="005472C8" w:rsidRDefault="0054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88841" w14:textId="77777777" w:rsidR="000879C8" w:rsidRDefault="000879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E4499" w14:textId="77777777" w:rsidR="000879C8" w:rsidRDefault="000879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1E83" w14:textId="77777777" w:rsidR="000879C8" w:rsidRDefault="000879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9A8F0" w14:textId="77777777" w:rsidR="005472C8" w:rsidRDefault="005472C8">
      <w:r>
        <w:separator/>
      </w:r>
    </w:p>
  </w:footnote>
  <w:footnote w:type="continuationSeparator" w:id="0">
    <w:p w14:paraId="310BEC1F" w14:textId="77777777" w:rsidR="005472C8" w:rsidRDefault="00547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45F0" w14:textId="77777777" w:rsidR="000879C8" w:rsidRDefault="000879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En-tte"/>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F117" w14:textId="77777777" w:rsidR="000879C8" w:rsidRDefault="000879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404061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25AC4"/>
    <w:rsid w:val="00027E69"/>
    <w:rsid w:val="000455B2"/>
    <w:rsid w:val="00045DA8"/>
    <w:rsid w:val="00046D80"/>
    <w:rsid w:val="000578B1"/>
    <w:rsid w:val="000713AA"/>
    <w:rsid w:val="00076EC4"/>
    <w:rsid w:val="000800FA"/>
    <w:rsid w:val="000861F8"/>
    <w:rsid w:val="000878FC"/>
    <w:rsid w:val="000879C8"/>
    <w:rsid w:val="00096CB0"/>
    <w:rsid w:val="000A485C"/>
    <w:rsid w:val="000A7D73"/>
    <w:rsid w:val="000B0125"/>
    <w:rsid w:val="000C3B2B"/>
    <w:rsid w:val="000D1716"/>
    <w:rsid w:val="000E4999"/>
    <w:rsid w:val="00102286"/>
    <w:rsid w:val="00106786"/>
    <w:rsid w:val="00107638"/>
    <w:rsid w:val="00112618"/>
    <w:rsid w:val="001157A8"/>
    <w:rsid w:val="00116E35"/>
    <w:rsid w:val="0014534A"/>
    <w:rsid w:val="0015242C"/>
    <w:rsid w:val="0016511A"/>
    <w:rsid w:val="00167D45"/>
    <w:rsid w:val="00176AEF"/>
    <w:rsid w:val="001A2C74"/>
    <w:rsid w:val="001B0EA6"/>
    <w:rsid w:val="001B5343"/>
    <w:rsid w:val="001B5373"/>
    <w:rsid w:val="001C1388"/>
    <w:rsid w:val="001E2384"/>
    <w:rsid w:val="001E3E8C"/>
    <w:rsid w:val="00203AFB"/>
    <w:rsid w:val="00203E9C"/>
    <w:rsid w:val="00204E47"/>
    <w:rsid w:val="00206A13"/>
    <w:rsid w:val="002107C7"/>
    <w:rsid w:val="00236B8D"/>
    <w:rsid w:val="00242D61"/>
    <w:rsid w:val="00247359"/>
    <w:rsid w:val="002649B6"/>
    <w:rsid w:val="00270FCD"/>
    <w:rsid w:val="00281E40"/>
    <w:rsid w:val="00283337"/>
    <w:rsid w:val="00291EEA"/>
    <w:rsid w:val="002974A2"/>
    <w:rsid w:val="002A1F4F"/>
    <w:rsid w:val="002A4426"/>
    <w:rsid w:val="002C389F"/>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863C3"/>
    <w:rsid w:val="00390C9F"/>
    <w:rsid w:val="003A434A"/>
    <w:rsid w:val="003A43CF"/>
    <w:rsid w:val="003B1417"/>
    <w:rsid w:val="003B4C34"/>
    <w:rsid w:val="003C34C8"/>
    <w:rsid w:val="003C4235"/>
    <w:rsid w:val="003C645C"/>
    <w:rsid w:val="003D01E9"/>
    <w:rsid w:val="003D34D0"/>
    <w:rsid w:val="003D5E25"/>
    <w:rsid w:val="003D747E"/>
    <w:rsid w:val="003F1B6F"/>
    <w:rsid w:val="00412841"/>
    <w:rsid w:val="00426EDA"/>
    <w:rsid w:val="0043690C"/>
    <w:rsid w:val="00436D5D"/>
    <w:rsid w:val="004413E2"/>
    <w:rsid w:val="0044166A"/>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472C8"/>
    <w:rsid w:val="00552443"/>
    <w:rsid w:val="00553334"/>
    <w:rsid w:val="00567F3E"/>
    <w:rsid w:val="00572892"/>
    <w:rsid w:val="0058288B"/>
    <w:rsid w:val="00587CDE"/>
    <w:rsid w:val="00591E21"/>
    <w:rsid w:val="005D1861"/>
    <w:rsid w:val="005D562A"/>
    <w:rsid w:val="005D7797"/>
    <w:rsid w:val="005E7894"/>
    <w:rsid w:val="005F1381"/>
    <w:rsid w:val="005F1CDD"/>
    <w:rsid w:val="00610AAC"/>
    <w:rsid w:val="006125B9"/>
    <w:rsid w:val="00614BAD"/>
    <w:rsid w:val="006155A5"/>
    <w:rsid w:val="00616A54"/>
    <w:rsid w:val="00616A77"/>
    <w:rsid w:val="00616F42"/>
    <w:rsid w:val="00617D27"/>
    <w:rsid w:val="00631D36"/>
    <w:rsid w:val="0063721E"/>
    <w:rsid w:val="00641C27"/>
    <w:rsid w:val="00642020"/>
    <w:rsid w:val="006552E8"/>
    <w:rsid w:val="006573BC"/>
    <w:rsid w:val="00657BB0"/>
    <w:rsid w:val="0066042E"/>
    <w:rsid w:val="006616BC"/>
    <w:rsid w:val="00663B73"/>
    <w:rsid w:val="00671E66"/>
    <w:rsid w:val="00681CE3"/>
    <w:rsid w:val="006822E2"/>
    <w:rsid w:val="00686B6F"/>
    <w:rsid w:val="006A03EF"/>
    <w:rsid w:val="006B19C3"/>
    <w:rsid w:val="006B3276"/>
    <w:rsid w:val="006C32FB"/>
    <w:rsid w:val="006C68FF"/>
    <w:rsid w:val="006D0C1F"/>
    <w:rsid w:val="006D2FB4"/>
    <w:rsid w:val="007011CE"/>
    <w:rsid w:val="0070518E"/>
    <w:rsid w:val="0072441C"/>
    <w:rsid w:val="00737C03"/>
    <w:rsid w:val="00775ABD"/>
    <w:rsid w:val="00776B7A"/>
    <w:rsid w:val="00776E54"/>
    <w:rsid w:val="00783624"/>
    <w:rsid w:val="007847F0"/>
    <w:rsid w:val="00794E0C"/>
    <w:rsid w:val="007973C3"/>
    <w:rsid w:val="007B054F"/>
    <w:rsid w:val="007B3D19"/>
    <w:rsid w:val="007D00B3"/>
    <w:rsid w:val="007D7D19"/>
    <w:rsid w:val="007E0547"/>
    <w:rsid w:val="007E3681"/>
    <w:rsid w:val="007E41A8"/>
    <w:rsid w:val="007E448B"/>
    <w:rsid w:val="007F5940"/>
    <w:rsid w:val="0080482A"/>
    <w:rsid w:val="00805200"/>
    <w:rsid w:val="00807AFC"/>
    <w:rsid w:val="0081734F"/>
    <w:rsid w:val="00821D97"/>
    <w:rsid w:val="00825C13"/>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4046"/>
    <w:rsid w:val="008A56E8"/>
    <w:rsid w:val="008A629E"/>
    <w:rsid w:val="008A7D3D"/>
    <w:rsid w:val="008B31D4"/>
    <w:rsid w:val="008D3594"/>
    <w:rsid w:val="008D73C8"/>
    <w:rsid w:val="008E1A49"/>
    <w:rsid w:val="008F7868"/>
    <w:rsid w:val="009047ED"/>
    <w:rsid w:val="00905E3A"/>
    <w:rsid w:val="0090616E"/>
    <w:rsid w:val="00906474"/>
    <w:rsid w:val="00911D35"/>
    <w:rsid w:val="009149F1"/>
    <w:rsid w:val="00914C1C"/>
    <w:rsid w:val="00917845"/>
    <w:rsid w:val="00933CBE"/>
    <w:rsid w:val="00934FB3"/>
    <w:rsid w:val="00960DB7"/>
    <w:rsid w:val="00962018"/>
    <w:rsid w:val="00977829"/>
    <w:rsid w:val="00981F33"/>
    <w:rsid w:val="00982440"/>
    <w:rsid w:val="00986AA8"/>
    <w:rsid w:val="00997CA1"/>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F69"/>
    <w:rsid w:val="00A844B5"/>
    <w:rsid w:val="00AC77C3"/>
    <w:rsid w:val="00AE06AA"/>
    <w:rsid w:val="00AF24EF"/>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B5D11"/>
    <w:rsid w:val="00BD25AB"/>
    <w:rsid w:val="00BD4617"/>
    <w:rsid w:val="00BE1580"/>
    <w:rsid w:val="00BE4BC8"/>
    <w:rsid w:val="00BE5C2D"/>
    <w:rsid w:val="00BF2100"/>
    <w:rsid w:val="00C12E8E"/>
    <w:rsid w:val="00C168DB"/>
    <w:rsid w:val="00C2221D"/>
    <w:rsid w:val="00C31577"/>
    <w:rsid w:val="00C436B7"/>
    <w:rsid w:val="00C43F6C"/>
    <w:rsid w:val="00C60B64"/>
    <w:rsid w:val="00CA4627"/>
    <w:rsid w:val="00CA5DBB"/>
    <w:rsid w:val="00CC6660"/>
    <w:rsid w:val="00CD0F90"/>
    <w:rsid w:val="00D16301"/>
    <w:rsid w:val="00D17478"/>
    <w:rsid w:val="00D21359"/>
    <w:rsid w:val="00D33936"/>
    <w:rsid w:val="00D53FA7"/>
    <w:rsid w:val="00D75E90"/>
    <w:rsid w:val="00D836FC"/>
    <w:rsid w:val="00DB49ED"/>
    <w:rsid w:val="00DB50BD"/>
    <w:rsid w:val="00DC1238"/>
    <w:rsid w:val="00DD11C7"/>
    <w:rsid w:val="00DD4ADD"/>
    <w:rsid w:val="00DE1399"/>
    <w:rsid w:val="00DF3946"/>
    <w:rsid w:val="00DF627B"/>
    <w:rsid w:val="00E00439"/>
    <w:rsid w:val="00E073C8"/>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D2B9D"/>
    <w:rsid w:val="00ED59B2"/>
    <w:rsid w:val="00ED6B4F"/>
    <w:rsid w:val="00EE790F"/>
    <w:rsid w:val="00F23933"/>
    <w:rsid w:val="00F303A3"/>
    <w:rsid w:val="00F5342D"/>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Sansinterligne">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cs="Arial Unicode MS"/>
      <w:color w:val="000000"/>
      <w:u w:color="000000"/>
      <w:lang w:val="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D21359"/>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1359"/>
    <w:rPr>
      <w:rFonts w:ascii="Segoe UI" w:hAnsi="Segoe UI" w:cs="Segoe UI"/>
      <w:color w:val="000000"/>
      <w:sz w:val="18"/>
      <w:szCs w:val="18"/>
      <w:u w:color="000000"/>
      <w:lang w:val="en-US"/>
    </w:rPr>
  </w:style>
  <w:style w:type="paragraph" w:styleId="Pieddepage">
    <w:name w:val="footer"/>
    <w:basedOn w:val="Normal"/>
    <w:link w:val="PieddepageCar"/>
    <w:uiPriority w:val="99"/>
    <w:unhideWhenUsed/>
    <w:rsid w:val="008F7868"/>
    <w:pPr>
      <w:tabs>
        <w:tab w:val="center" w:pos="4680"/>
        <w:tab w:val="right" w:pos="9360"/>
      </w:tabs>
    </w:pPr>
  </w:style>
  <w:style w:type="character" w:customStyle="1" w:styleId="PieddepageCar">
    <w:name w:val="Pied de page Car"/>
    <w:basedOn w:val="Policepardfaut"/>
    <w:link w:val="Pieddepage"/>
    <w:uiPriority w:val="99"/>
    <w:rsid w:val="008F7868"/>
    <w:rPr>
      <w:rFonts w:cs="Arial Unicode MS"/>
      <w:color w:val="000000"/>
      <w:sz w:val="24"/>
      <w:szCs w:val="24"/>
      <w:u w:color="000000"/>
      <w:lang w:val="en-US"/>
    </w:rPr>
  </w:style>
  <w:style w:type="character" w:styleId="Mentionnonrsolue">
    <w:name w:val="Unresolved Mention"/>
    <w:basedOn w:val="Policepardfaut"/>
    <w:uiPriority w:val="99"/>
    <w:semiHidden/>
    <w:unhideWhenUsed/>
    <w:rsid w:val="0052480D"/>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917845"/>
    <w:rPr>
      <w:b/>
      <w:bCs/>
    </w:rPr>
  </w:style>
  <w:style w:type="character" w:customStyle="1" w:styleId="ObjetducommentaireCar">
    <w:name w:val="Objet du commentaire Car"/>
    <w:basedOn w:val="CommentaireCar"/>
    <w:link w:val="Objetducommentaire"/>
    <w:uiPriority w:val="99"/>
    <w:semiHidden/>
    <w:rsid w:val="00917845"/>
    <w:rPr>
      <w:rFonts w:cs="Arial Unicode MS"/>
      <w:b/>
      <w:bCs/>
      <w:color w:val="000000"/>
      <w:u w:color="000000"/>
      <w:lang w:val="en-US"/>
    </w:rPr>
  </w:style>
  <w:style w:type="paragraph" w:styleId="R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Paragraphedeliste">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 w:type="character" w:customStyle="1" w:styleId="ts-alignment-element">
    <w:name w:val="ts-alignment-element"/>
    <w:basedOn w:val="Policepardfaut"/>
    <w:rsid w:val="001A2C74"/>
  </w:style>
  <w:style w:type="character" w:customStyle="1" w:styleId="ts-alignment-element-highlighted">
    <w:name w:val="ts-alignment-element-highlighted"/>
    <w:basedOn w:val="Policepardfaut"/>
    <w:rsid w:val="001A2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info.gce@gc.denta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c1d17fce74a62e6705d94eadb08a3bc6">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aeb0c62f0cef6d708b81ea80932d09c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2.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803ae9b9-76eb-4f63-9844-281569422c83"/>
    <ds:schemaRef ds:uri="a5646751-c213-413e-bc89-b770570c7ab0"/>
  </ds:schemaRefs>
</ds:datastoreItem>
</file>

<file path=customXml/itemProps3.xml><?xml version="1.0" encoding="utf-8"?>
<ds:datastoreItem xmlns:ds="http://schemas.openxmlformats.org/officeDocument/2006/customXml" ds:itemID="{E93D1311-8B81-46D7-BD7C-8AA6922C921D}"/>
</file>

<file path=docProps/app.xml><?xml version="1.0" encoding="utf-8"?>
<Properties xmlns="http://schemas.openxmlformats.org/officeDocument/2006/extended-properties" xmlns:vt="http://schemas.openxmlformats.org/officeDocument/2006/docPropsVTypes">
  <Template>Normal.dotm</Template>
  <TotalTime>1</TotalTime>
  <Pages>3</Pages>
  <Words>375</Words>
  <Characters>2067</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Derique, Nathalie</cp:lastModifiedBy>
  <cp:revision>3</cp:revision>
  <cp:lastPrinted>2020-01-21T15:04:00Z</cp:lastPrinted>
  <dcterms:created xsi:type="dcterms:W3CDTF">2025-12-11T10:23:00Z</dcterms:created>
  <dcterms:modified xsi:type="dcterms:W3CDTF">2025-12-11T10:24:00Z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