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401CE33D" w:rsidR="004C48D0" w:rsidRPr="00AF06E2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AF06E2">
        <w:rPr>
          <w:rFonts w:ascii="Avenir Next LT Pro" w:hAnsi="Avenir Next LT Pro"/>
          <w:b/>
          <w:bCs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D7D38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820061" w:rsidRPr="00AF06E2">
        <w:rPr>
          <w:rFonts w:ascii="Avenir Next LT Pro" w:hAnsi="Avenir Next LT Pro"/>
          <w:b/>
          <w:bCs/>
          <w:color w:val="000000" w:themeColor="text1"/>
          <w:sz w:val="30"/>
          <w:szCs w:val="30"/>
        </w:rPr>
        <w:t>Sajtóközlemény</w:t>
      </w:r>
    </w:p>
    <w:p w14:paraId="0C69B5D1" w14:textId="77777777" w:rsidR="00270FCD" w:rsidRPr="00AF06E2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6F71835F" w14:textId="3352AAA6" w:rsidR="00CA4627" w:rsidRPr="00AF06E2" w:rsidRDefault="001F002C" w:rsidP="00CA462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r w:rsidRPr="00AF06E2">
        <w:rPr>
          <w:rFonts w:ascii="Avenir Next LT Pro" w:eastAsia="Verdana" w:hAnsi="Avenir Next LT Pro" w:cs="Verdana"/>
          <w:color w:val="000000" w:themeColor="text1"/>
          <w:u w:val="single"/>
        </w:rPr>
        <w:t>Pragmatikus direkt megoldások fogkopásra a GC-</w:t>
      </w:r>
      <w:proofErr w:type="spellStart"/>
      <w:r w:rsidRPr="00AF06E2">
        <w:rPr>
          <w:rFonts w:ascii="Avenir Next LT Pro" w:eastAsia="Verdana" w:hAnsi="Avenir Next LT Pro" w:cs="Verdana"/>
          <w:color w:val="000000" w:themeColor="text1"/>
          <w:u w:val="single"/>
        </w:rPr>
        <w:t>től</w:t>
      </w:r>
      <w:proofErr w:type="spellEnd"/>
    </w:p>
    <w:p w14:paraId="5106CFB0" w14:textId="77777777" w:rsidR="007847F0" w:rsidRPr="00AF06E2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2EE6D9DB" w14:textId="7530B501" w:rsidR="007F5940" w:rsidRPr="00AF06E2" w:rsidRDefault="00BB4E35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AF06E2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A diagnózistól a kezelésig: a fogkopás hatékony menedzsmentje</w:t>
      </w:r>
    </w:p>
    <w:p w14:paraId="623687D8" w14:textId="77777777" w:rsidR="00BB4E35" w:rsidRPr="00AF06E2" w:rsidRDefault="00BB4E35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0BE6B25D" w14:textId="379BA172" w:rsidR="006552E8" w:rsidRPr="00AF06E2" w:rsidRDefault="00201D9B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AF06E2">
        <w:rPr>
          <w:rFonts w:ascii="Avenir Next LT Pro" w:eastAsia="Verdana" w:hAnsi="Avenir Next LT Pro" w:cs="Verdana"/>
          <w:b/>
          <w:bCs/>
          <w:color w:val="000000" w:themeColor="text1"/>
        </w:rPr>
        <w:t>A fogkopás egyre növekvő problémát jelent, amely mindinkább hatással van a mindennapi fogorvosi gyakorlatra.</w:t>
      </w:r>
      <w:r w:rsidR="006552E8" w:rsidRPr="00AF06E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="00C03A03" w:rsidRPr="00AF06E2">
        <w:rPr>
          <w:rFonts w:ascii="Avenir Next LT Pro" w:eastAsia="Verdana" w:hAnsi="Avenir Next LT Pro" w:cs="Verdana"/>
          <w:b/>
          <w:bCs/>
          <w:color w:val="000000" w:themeColor="text1"/>
        </w:rPr>
        <w:t>Becslések szerint tízből négy pácienst érint a közepes vagy súlyos mértékű fogkopás.</w:t>
      </w:r>
      <w:r w:rsidR="00C03A03" w:rsidRPr="00AF06E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="00C03A03" w:rsidRPr="00AF06E2">
        <w:rPr>
          <w:rFonts w:ascii="Avenir Next LT Pro" w:eastAsia="Verdana" w:hAnsi="Avenir Next LT Pro" w:cs="Verdana"/>
          <w:b/>
          <w:bCs/>
          <w:color w:val="000000" w:themeColor="text1"/>
        </w:rPr>
        <w:t>Mivel a gyakoriság minden korcsoportban növekszik, a hatékony kezelés fontosabb, mint valaha.</w:t>
      </w:r>
      <w:r w:rsidR="00C03A03" w:rsidRPr="00AF06E2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="008E3889" w:rsidRPr="00AF06E2">
        <w:rPr>
          <w:rFonts w:ascii="Avenir Next LT Pro" w:eastAsia="Verdana" w:hAnsi="Avenir Next LT Pro" w:cs="Verdana"/>
          <w:b/>
          <w:bCs/>
          <w:color w:val="000000" w:themeColor="text1"/>
        </w:rPr>
        <w:t>A fogászati szakemberek kulcsszerepet játszanak abban, hogy segítsék a pácienseket a fogkopás kezelésében, csökkentve annak hatását és megelőzve a további előrehaladást.</w:t>
      </w:r>
    </w:p>
    <w:p w14:paraId="6259144A" w14:textId="77777777" w:rsidR="006552E8" w:rsidRPr="00AF06E2" w:rsidRDefault="006552E8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093665BF" w14:textId="5D0ED5B7" w:rsidR="00982440" w:rsidRPr="00AF06E2" w:rsidRDefault="00C54143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AF06E2">
        <w:rPr>
          <w:rFonts w:ascii="Avenir Next LT Pro" w:eastAsia="Verdana" w:hAnsi="Avenir Next LT Pro" w:cs="Verdana"/>
          <w:color w:val="000000" w:themeColor="text1"/>
        </w:rPr>
        <w:t>A GC elkötelezett amellett, hogy gyakorlati megoldásokkal és erőforrásokkal támogassa a fogászati szakembereket a fogkopás kezelésében.</w:t>
      </w:r>
      <w:r w:rsidR="008D3594" w:rsidRPr="00AF06E2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1D78CA" w:rsidRPr="00AF06E2">
        <w:rPr>
          <w:rFonts w:ascii="Avenir Next LT Pro" w:eastAsia="Verdana" w:hAnsi="Avenir Next LT Pro" w:cs="Verdana"/>
          <w:color w:val="000000" w:themeColor="text1"/>
        </w:rPr>
        <w:t xml:space="preserve">A kezdeményezés szakértők által vezetett tanfolyamokat, részletes cikkeket, informatív interjúkat és interaktív </w:t>
      </w:r>
      <w:proofErr w:type="spellStart"/>
      <w:r w:rsidR="001D78CA" w:rsidRPr="00AF06E2">
        <w:rPr>
          <w:rFonts w:ascii="Avenir Next LT Pro" w:eastAsia="Verdana" w:hAnsi="Avenir Next LT Pro" w:cs="Verdana"/>
          <w:color w:val="000000" w:themeColor="text1"/>
        </w:rPr>
        <w:t>webináriumokat</w:t>
      </w:r>
      <w:proofErr w:type="spellEnd"/>
      <w:r w:rsidR="001D78CA" w:rsidRPr="00AF06E2">
        <w:rPr>
          <w:rFonts w:ascii="Avenir Next LT Pro" w:eastAsia="Verdana" w:hAnsi="Avenir Next LT Pro" w:cs="Verdana"/>
          <w:color w:val="000000" w:themeColor="text1"/>
        </w:rPr>
        <w:t xml:space="preserve"> foglal magában, amelyek mind azt a célt szolgálják, hogy a fogászati szakemberek megszerezzék a fogkopás hatásának csökkentéséhez és előrehaladásának megelőzéséhez szükséges tudást és eszközöket.</w:t>
      </w:r>
    </w:p>
    <w:p w14:paraId="35AE73C5" w14:textId="5056767C" w:rsidR="00F279EF" w:rsidRPr="00AF06E2" w:rsidRDefault="00F279EF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AF06E2">
        <w:rPr>
          <w:rFonts w:ascii="Avenir Next LT Pro" w:eastAsia="Verdana" w:hAnsi="Avenir Next LT Pro" w:cs="Verdana"/>
          <w:color w:val="000000" w:themeColor="text1"/>
        </w:rPr>
        <w:t xml:space="preserve">Az első hónapokban a közepes </w:t>
      </w:r>
      <w:r w:rsidRPr="00AF06E2">
        <w:rPr>
          <w:rFonts w:ascii="Avenir Next LT Pro" w:eastAsia="Verdana" w:hAnsi="Avenir Next LT Pro" w:cs="Verdana"/>
          <w:color w:val="000000" w:themeColor="text1"/>
        </w:rPr>
        <w:t>mértékű</w:t>
      </w:r>
      <w:r w:rsidRPr="00AF06E2">
        <w:rPr>
          <w:rFonts w:ascii="Avenir Next LT Pro" w:eastAsia="Verdana" w:hAnsi="Avenir Next LT Pro" w:cs="Verdana"/>
          <w:color w:val="000000" w:themeColor="text1"/>
        </w:rPr>
        <w:t xml:space="preserve"> fogkopás okait és a kezelésére vonatkozó kulcsfontosságú stratégiákat vizsgáljuk, majd az év későbbi szakaszában a súlyos fogkopás részletesebb kezelésére térünk át.</w:t>
      </w:r>
      <w:r w:rsidRPr="00AF06E2">
        <w:rPr>
          <w:rFonts w:ascii="Avenir Next LT Pro" w:eastAsia="Verdana" w:hAnsi="Avenir Next LT Pro" w:cs="Verdana"/>
          <w:color w:val="000000" w:themeColor="text1"/>
        </w:rPr>
        <w:t xml:space="preserve"> </w:t>
      </w:r>
    </w:p>
    <w:p w14:paraId="496385A6" w14:textId="35C6E0BB" w:rsidR="00982440" w:rsidRPr="00AF06E2" w:rsidRDefault="002F56F3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AF06E2">
        <w:rPr>
          <w:rFonts w:ascii="Avenir Next LT Pro" w:eastAsia="Verdana" w:hAnsi="Avenir Next LT Pro" w:cs="Verdana"/>
          <w:color w:val="000000" w:themeColor="text1"/>
        </w:rPr>
        <w:t xml:space="preserve">Célunk, hogy a klinikusok számára bizonyítékokon alapuló megoldásokat és gyakorlati útmutatást nyújtsunk, amelyeket a mindennapi gyakorlatban is </w:t>
      </w:r>
      <w:r w:rsidRPr="00AF06E2">
        <w:rPr>
          <w:rFonts w:ascii="Avenir Next LT Pro" w:eastAsia="Verdana" w:hAnsi="Avenir Next LT Pro" w:cs="Verdana"/>
          <w:color w:val="000000" w:themeColor="text1"/>
        </w:rPr>
        <w:lastRenderedPageBreak/>
        <w:t xml:space="preserve">alkalmazni lehet” – mondta </w:t>
      </w:r>
      <w:proofErr w:type="spellStart"/>
      <w:r w:rsidRPr="00AF06E2">
        <w:rPr>
          <w:rFonts w:ascii="Avenir Next LT Pro" w:eastAsia="Verdana" w:hAnsi="Avenir Next LT Pro" w:cs="Verdana"/>
          <w:color w:val="000000" w:themeColor="text1"/>
        </w:rPr>
        <w:t>Earta</w:t>
      </w:r>
      <w:proofErr w:type="spellEnd"/>
      <w:r w:rsidRPr="00AF06E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F06E2">
        <w:rPr>
          <w:rFonts w:ascii="Avenir Next LT Pro" w:eastAsia="Verdana" w:hAnsi="Avenir Next LT Pro" w:cs="Verdana"/>
          <w:color w:val="000000" w:themeColor="text1"/>
        </w:rPr>
        <w:t>Lauka</w:t>
      </w:r>
      <w:proofErr w:type="spellEnd"/>
      <w:r w:rsidRPr="00AF06E2">
        <w:rPr>
          <w:rFonts w:ascii="Avenir Next LT Pro" w:eastAsia="Verdana" w:hAnsi="Avenir Next LT Pro" w:cs="Verdana"/>
          <w:color w:val="000000" w:themeColor="text1"/>
        </w:rPr>
        <w:t xml:space="preserve">, a GC Europe </w:t>
      </w:r>
      <w:r w:rsidR="00C16D04" w:rsidRPr="00AF06E2">
        <w:rPr>
          <w:rFonts w:ascii="Avenir Next LT Pro" w:eastAsia="Verdana" w:hAnsi="Avenir Next LT Pro" w:cs="Verdana"/>
          <w:color w:val="000000" w:themeColor="text1"/>
        </w:rPr>
        <w:t>h</w:t>
      </w:r>
      <w:r w:rsidRPr="00AF06E2">
        <w:rPr>
          <w:rFonts w:ascii="Avenir Next LT Pro" w:eastAsia="Verdana" w:hAnsi="Avenir Next LT Pro" w:cs="Verdana"/>
          <w:color w:val="000000" w:themeColor="text1"/>
        </w:rPr>
        <w:t xml:space="preserve">elyreállító </w:t>
      </w:r>
      <w:r w:rsidR="00C16D04" w:rsidRPr="00AF06E2">
        <w:rPr>
          <w:rFonts w:ascii="Avenir Next LT Pro" w:eastAsia="Verdana" w:hAnsi="Avenir Next LT Pro" w:cs="Verdana"/>
          <w:color w:val="000000" w:themeColor="text1"/>
        </w:rPr>
        <w:t>k</w:t>
      </w:r>
      <w:r w:rsidRPr="00AF06E2">
        <w:rPr>
          <w:rFonts w:ascii="Avenir Next LT Pro" w:eastAsia="Verdana" w:hAnsi="Avenir Next LT Pro" w:cs="Verdana"/>
          <w:color w:val="000000" w:themeColor="text1"/>
        </w:rPr>
        <w:t xml:space="preserve">ompozitok </w:t>
      </w:r>
      <w:r w:rsidR="00C16D04" w:rsidRPr="00AF06E2">
        <w:rPr>
          <w:rFonts w:ascii="Avenir Next LT Pro" w:eastAsia="Verdana" w:hAnsi="Avenir Next LT Pro" w:cs="Verdana"/>
          <w:color w:val="000000" w:themeColor="text1"/>
        </w:rPr>
        <w:t>ü</w:t>
      </w:r>
      <w:r w:rsidRPr="00AF06E2">
        <w:rPr>
          <w:rFonts w:ascii="Avenir Next LT Pro" w:eastAsia="Verdana" w:hAnsi="Avenir Next LT Pro" w:cs="Verdana"/>
          <w:color w:val="000000" w:themeColor="text1"/>
        </w:rPr>
        <w:t>zletág</w:t>
      </w:r>
      <w:r w:rsidR="00C16D04" w:rsidRPr="00AF06E2">
        <w:rPr>
          <w:rFonts w:ascii="Avenir Next LT Pro" w:eastAsia="Verdana" w:hAnsi="Avenir Next LT Pro" w:cs="Verdana"/>
          <w:color w:val="000000" w:themeColor="text1"/>
        </w:rPr>
        <w:t xml:space="preserve"> menedzsere</w:t>
      </w:r>
      <w:r w:rsidRPr="00AF06E2">
        <w:rPr>
          <w:rFonts w:ascii="Avenir Next LT Pro" w:eastAsia="Verdana" w:hAnsi="Avenir Next LT Pro" w:cs="Verdana"/>
          <w:color w:val="000000" w:themeColor="text1"/>
        </w:rPr>
        <w:t>.</w:t>
      </w:r>
      <w:r w:rsidR="00360843" w:rsidRPr="00AF06E2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333123" w:rsidRPr="00AF06E2">
        <w:rPr>
          <w:rFonts w:ascii="Avenir Next LT Pro" w:eastAsia="Verdana" w:hAnsi="Avenir Next LT Pro" w:cs="Verdana"/>
          <w:color w:val="000000" w:themeColor="text1"/>
        </w:rPr>
        <w:t>„</w:t>
      </w:r>
      <w:r w:rsidR="009715C6" w:rsidRPr="00AF06E2">
        <w:rPr>
          <w:rFonts w:ascii="Avenir Next LT Pro" w:eastAsia="Verdana" w:hAnsi="Avenir Next LT Pro" w:cs="Verdana"/>
          <w:color w:val="000000" w:themeColor="text1"/>
        </w:rPr>
        <w:t>Célunk, hogy bemutassuk és elmagyarázzuk a különböző megközelítéseket, ezáltal a fogorvosok számára megadva azokat az ismereteket, amelyek segítségével a legjobb megoldást választhatják pácienseik számára.</w:t>
      </w:r>
      <w:r w:rsidR="009715C6" w:rsidRPr="00AF06E2">
        <w:rPr>
          <w:rFonts w:ascii="Avenir Next LT Pro" w:eastAsia="Verdana" w:hAnsi="Avenir Next LT Pro" w:cs="Verdana"/>
          <w:color w:val="000000" w:themeColor="text1"/>
        </w:rPr>
        <w:t>”</w:t>
      </w:r>
    </w:p>
    <w:p w14:paraId="0A0B1410" w14:textId="7BF6CC62" w:rsidR="00982440" w:rsidRPr="00AF06E2" w:rsidRDefault="00333123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AF06E2">
        <w:rPr>
          <w:rFonts w:ascii="Avenir Next LT Pro" w:eastAsia="Verdana" w:hAnsi="Avenir Next LT Pro" w:cs="Verdana"/>
          <w:color w:val="000000" w:themeColor="text1"/>
        </w:rPr>
        <w:t>Ez a kampány a GC folyamatos elkötelezettségét tükrözi a szájegészségügyi innováció és oktatás iránt.</w:t>
      </w:r>
      <w:r w:rsidRPr="00AF06E2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F13E3A" w:rsidRPr="00AF06E2">
        <w:rPr>
          <w:rFonts w:ascii="Avenir Next LT Pro" w:eastAsia="Verdana" w:hAnsi="Avenir Next LT Pro" w:cs="Verdana"/>
          <w:color w:val="000000" w:themeColor="text1"/>
        </w:rPr>
        <w:t>A programban való részvétellel a fogászati csapatok lépést tarthatnak a felmerülő trendekkel, és a lehető legmagasabb színvonalú ellátást nyújthatják pácienseiknek.</w:t>
      </w:r>
    </w:p>
    <w:p w14:paraId="254F9DC9" w14:textId="18E75461" w:rsidR="00D836FC" w:rsidRPr="00AF06E2" w:rsidRDefault="00B93878" w:rsidP="0098244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AF06E2">
        <w:rPr>
          <w:rFonts w:ascii="Avenir Next LT Pro" w:eastAsia="Verdana" w:hAnsi="Avenir Next LT Pro" w:cs="Verdana"/>
          <w:color w:val="000000" w:themeColor="text1"/>
        </w:rPr>
        <w:t>További információ:</w:t>
      </w:r>
      <w:r w:rsidR="00D836FC" w:rsidRPr="00AF06E2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3C4235" w:rsidRPr="00AF06E2">
        <w:rPr>
          <w:rFonts w:ascii="Avenir Next LT Pro" w:eastAsia="Verdana" w:hAnsi="Avenir Next LT Pro" w:cs="Verdana"/>
          <w:color w:val="000000" w:themeColor="text1"/>
        </w:rPr>
        <w:t>https://campaigns-gceurope.com/wear-solutions</w:t>
      </w:r>
    </w:p>
    <w:p w14:paraId="180646A0" w14:textId="77777777" w:rsidR="00F303A3" w:rsidRPr="00AF06E2" w:rsidRDefault="00F303A3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61B217CD" w14:textId="77777777" w:rsidR="00105E15" w:rsidRPr="00AF06E2" w:rsidRDefault="00105E15" w:rsidP="004E2FB3">
      <w:pPr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</w:rPr>
        <w:sectPr w:rsidR="00105E15" w:rsidRPr="00AF06E2" w:rsidSect="00375891">
          <w:headerReference w:type="default" r:id="rId10"/>
          <w:pgSz w:w="11900" w:h="16840"/>
          <w:pgMar w:top="1826" w:right="1985" w:bottom="2880" w:left="2700" w:header="709" w:footer="478" w:gutter="0"/>
          <w:cols w:space="720"/>
        </w:sectPr>
      </w:pPr>
    </w:p>
    <w:p w14:paraId="34A9CF65" w14:textId="1A67B52A" w:rsidR="00C12E8E" w:rsidRPr="00AF06E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</w:rPr>
      </w:pPr>
      <w:r w:rsidRPr="00AF06E2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</w:rPr>
        <w:t>GC Europe N.V.</w:t>
      </w:r>
    </w:p>
    <w:p w14:paraId="71863812" w14:textId="77777777" w:rsidR="00C12E8E" w:rsidRPr="00AF06E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proofErr w:type="spellStart"/>
      <w:r w:rsidRPr="00AF06E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Interleuvenlaan</w:t>
      </w:r>
      <w:proofErr w:type="spellEnd"/>
      <w:r w:rsidRPr="00AF06E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 xml:space="preserve"> 33</w:t>
      </w:r>
    </w:p>
    <w:p w14:paraId="452202D6" w14:textId="77777777" w:rsidR="00C12E8E" w:rsidRPr="00AF06E2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r w:rsidRPr="00AF06E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 xml:space="preserve">3001 </w:t>
      </w:r>
      <w:proofErr w:type="spellStart"/>
      <w:r w:rsidRPr="00AF06E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Leuven</w:t>
      </w:r>
      <w:proofErr w:type="spellEnd"/>
    </w:p>
    <w:p w14:paraId="44D3AA60" w14:textId="6EC948AB" w:rsidR="00C12E8E" w:rsidRPr="00AF06E2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</w:pPr>
      <w:r w:rsidRPr="00AF06E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+32.16.74.10.00</w:t>
      </w:r>
      <w:r w:rsidRPr="00AF06E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ab/>
      </w:r>
    </w:p>
    <w:p w14:paraId="3AF5C46E" w14:textId="408D2A99" w:rsidR="00567F3E" w:rsidRPr="00AF06E2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r w:rsidRPr="00AF06E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https://www.gc.dental/europe</w:t>
      </w:r>
    </w:p>
    <w:p w14:paraId="17B68DE6" w14:textId="2FC4C36C" w:rsidR="000A485C" w:rsidRPr="00AF06E2" w:rsidRDefault="007D00B3" w:rsidP="004E2FB3">
      <w:pPr>
        <w:pStyle w:val="NormlWeb"/>
        <w:spacing w:before="0" w:after="0" w:line="360" w:lineRule="auto"/>
        <w:ind w:left="-990" w:right="-868"/>
        <w:rPr>
          <w:lang w:val="hu-HU"/>
        </w:rPr>
      </w:pPr>
      <w:hyperlink r:id="rId11" w:history="1">
        <w:r w:rsidRPr="00AF06E2">
          <w:rPr>
            <w:rStyle w:val="Hiperhivatkozs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hu-HU"/>
          </w:rPr>
          <w:t>info.gce@gc.dental</w:t>
        </w:r>
      </w:hyperlink>
    </w:p>
    <w:p w14:paraId="4F1076D5" w14:textId="77777777" w:rsidR="00105E15" w:rsidRPr="00AF06E2" w:rsidRDefault="00105E15" w:rsidP="00163CB2">
      <w:pPr>
        <w:pStyle w:val="NormlWeb"/>
        <w:spacing w:before="0" w:after="0" w:line="360" w:lineRule="auto"/>
        <w:ind w:left="-992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</w:p>
    <w:p w14:paraId="604BC5F6" w14:textId="1ADDEE6C" w:rsidR="00163CB2" w:rsidRPr="00AF06E2" w:rsidRDefault="00163CB2" w:rsidP="00105E15">
      <w:pPr>
        <w:pStyle w:val="NormlWeb"/>
        <w:spacing w:before="0" w:after="0" w:line="360" w:lineRule="auto"/>
        <w:ind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GC Europe N.V.</w:t>
      </w:r>
    </w:p>
    <w:p w14:paraId="55F64A87" w14:textId="77777777" w:rsidR="00163CB2" w:rsidRPr="00AF06E2" w:rsidRDefault="00163CB2" w:rsidP="00105E15">
      <w:pPr>
        <w:pStyle w:val="NormlWeb"/>
        <w:spacing w:before="0" w:after="0" w:line="360" w:lineRule="auto"/>
        <w:ind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GCEEO Hungary</w:t>
      </w:r>
    </w:p>
    <w:p w14:paraId="649606EA" w14:textId="77777777" w:rsidR="00163CB2" w:rsidRPr="00AF06E2" w:rsidRDefault="00163CB2" w:rsidP="00105E15">
      <w:pPr>
        <w:pStyle w:val="NormlWeb"/>
        <w:spacing w:before="0" w:after="0" w:line="360" w:lineRule="auto"/>
        <w:ind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Fazekas utca 29-31.</w:t>
      </w:r>
    </w:p>
    <w:p w14:paraId="6A943218" w14:textId="77777777" w:rsidR="00163CB2" w:rsidRPr="00AF06E2" w:rsidRDefault="00163CB2" w:rsidP="00105E15">
      <w:pPr>
        <w:pStyle w:val="NormlWeb"/>
        <w:spacing w:before="0" w:after="0" w:line="360" w:lineRule="auto"/>
        <w:ind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HU - 1027 Budapest</w:t>
      </w:r>
    </w:p>
    <w:p w14:paraId="5252C2EC" w14:textId="77777777" w:rsidR="00163CB2" w:rsidRPr="00AF06E2" w:rsidRDefault="00163CB2" w:rsidP="00105E15">
      <w:pPr>
        <w:pStyle w:val="NormlWeb"/>
        <w:spacing w:before="0" w:after="0" w:line="360" w:lineRule="auto"/>
        <w:ind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Tel. +36.1.224.04.00</w:t>
      </w:r>
    </w:p>
    <w:p w14:paraId="4C0CA968" w14:textId="77777777" w:rsidR="00163CB2" w:rsidRPr="00AF06E2" w:rsidRDefault="00163CB2" w:rsidP="00105E15">
      <w:pPr>
        <w:pStyle w:val="NormlWeb"/>
        <w:spacing w:before="0" w:after="0" w:line="360" w:lineRule="auto"/>
        <w:ind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https://www.gc.dental/europe/hu-HU</w:t>
      </w:r>
    </w:p>
    <w:p w14:paraId="663D7F5B" w14:textId="1CCBD42C" w:rsidR="00163CB2" w:rsidRPr="00AF06E2" w:rsidRDefault="00163CB2" w:rsidP="00105E15">
      <w:pPr>
        <w:pStyle w:val="NormlWeb"/>
        <w:spacing w:before="0" w:after="0" w:line="360" w:lineRule="auto"/>
        <w:ind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  <w:hyperlink r:id="rId12" w:history="1">
        <w:r w:rsidRPr="00AF06E2">
          <w:rPr>
            <w:rStyle w:val="Hiperhivatkozs"/>
            <w:rFonts w:ascii="Avenir Next LT Pro" w:hAnsi="Avenir Next LT Pro"/>
            <w:spacing w:val="5"/>
            <w:kern w:val="28"/>
            <w:sz w:val="22"/>
            <w:szCs w:val="22"/>
            <w:lang w:val="hu-HU"/>
          </w:rPr>
          <w:t>info.hungary@gc.dental</w:t>
        </w:r>
      </w:hyperlink>
    </w:p>
    <w:p w14:paraId="0847FF26" w14:textId="77777777" w:rsidR="00105E15" w:rsidRPr="00AF06E2" w:rsidRDefault="00105E15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sectPr w:rsidR="00105E15" w:rsidRPr="00AF06E2" w:rsidSect="00105E15">
          <w:type w:val="continuous"/>
          <w:pgSz w:w="11900" w:h="16840"/>
          <w:pgMar w:top="1826" w:right="1985" w:bottom="2880" w:left="2700" w:header="709" w:footer="478" w:gutter="0"/>
          <w:cols w:num="2" w:space="720"/>
        </w:sectPr>
      </w:pPr>
    </w:p>
    <w:p w14:paraId="2AEB49FD" w14:textId="51040530" w:rsidR="00A5023C" w:rsidRPr="00AF06E2" w:rsidRDefault="00A2121B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  <w:r w:rsidRPr="00AF06E2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drawing>
          <wp:inline distT="0" distB="0" distL="0" distR="0" wp14:anchorId="15CC60E3" wp14:editId="57C6CCC9">
            <wp:extent cx="4119989" cy="263017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6202AA0-FF4E-4228-9F6D-C03CC1ED6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202AA0-FF4E-4228-9F6D-C03CC1ED65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6973" cy="264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563F" w14:textId="02AB05B6" w:rsidR="00A2121B" w:rsidRPr="00AB6A79" w:rsidRDefault="00AB6A79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</w:pPr>
      <w:r w:rsidRPr="00AF06E2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lang w:val="hu-HU"/>
        </w:rPr>
        <w:t>Kampánykép. Bár az életkor előrehaladtával gyakoribbá válik, a fogkopás minden korcsoportban előforduló probléma.</w:t>
      </w:r>
    </w:p>
    <w:sectPr w:rsidR="00A2121B" w:rsidRPr="00AB6A79" w:rsidSect="00105E15">
      <w:type w:val="continuous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E2367" w14:textId="77777777" w:rsidR="007954E0" w:rsidRPr="00AF06E2" w:rsidRDefault="007954E0">
      <w:r w:rsidRPr="00AF06E2">
        <w:separator/>
      </w:r>
    </w:p>
  </w:endnote>
  <w:endnote w:type="continuationSeparator" w:id="0">
    <w:p w14:paraId="750DE956" w14:textId="77777777" w:rsidR="007954E0" w:rsidRPr="00AF06E2" w:rsidRDefault="007954E0">
      <w:r w:rsidRPr="00AF06E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9A85A" w14:textId="77777777" w:rsidR="007954E0" w:rsidRPr="00AF06E2" w:rsidRDefault="007954E0">
      <w:r w:rsidRPr="00AF06E2">
        <w:separator/>
      </w:r>
    </w:p>
  </w:footnote>
  <w:footnote w:type="continuationSeparator" w:id="0">
    <w:p w14:paraId="6B679875" w14:textId="77777777" w:rsidR="007954E0" w:rsidRPr="00AF06E2" w:rsidRDefault="007954E0">
      <w:r w:rsidRPr="00AF06E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Pr="00AF06E2" w:rsidRDefault="002A1F4F">
    <w:pPr>
      <w:pStyle w:val="lfej"/>
      <w:tabs>
        <w:tab w:val="clear" w:pos="9072"/>
        <w:tab w:val="right" w:pos="7842"/>
      </w:tabs>
      <w:rPr>
        <w:lang w:val="hu-HU"/>
      </w:rPr>
    </w:pPr>
    <w:r w:rsidRPr="00AF06E2">
      <w:rPr>
        <w:lang w:val="hu-HU"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1860136078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90029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0A7D"/>
    <w:rsid w:val="000578B1"/>
    <w:rsid w:val="000713AA"/>
    <w:rsid w:val="00076EC4"/>
    <w:rsid w:val="000800FA"/>
    <w:rsid w:val="000861F8"/>
    <w:rsid w:val="000878FC"/>
    <w:rsid w:val="00096CB0"/>
    <w:rsid w:val="000A485C"/>
    <w:rsid w:val="000A7D73"/>
    <w:rsid w:val="000B0125"/>
    <w:rsid w:val="000C3B2B"/>
    <w:rsid w:val="000D1716"/>
    <w:rsid w:val="000E4999"/>
    <w:rsid w:val="00102286"/>
    <w:rsid w:val="00105E15"/>
    <w:rsid w:val="00106786"/>
    <w:rsid w:val="00107638"/>
    <w:rsid w:val="00112618"/>
    <w:rsid w:val="001157A8"/>
    <w:rsid w:val="00116E35"/>
    <w:rsid w:val="0014534A"/>
    <w:rsid w:val="00163CB2"/>
    <w:rsid w:val="0016511A"/>
    <w:rsid w:val="00167D45"/>
    <w:rsid w:val="00176AEF"/>
    <w:rsid w:val="001B0EA6"/>
    <w:rsid w:val="001B5343"/>
    <w:rsid w:val="001B5373"/>
    <w:rsid w:val="001C1388"/>
    <w:rsid w:val="001D78CA"/>
    <w:rsid w:val="001E2384"/>
    <w:rsid w:val="001E3E8C"/>
    <w:rsid w:val="001F002C"/>
    <w:rsid w:val="00201D9B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C389F"/>
    <w:rsid w:val="002D47E2"/>
    <w:rsid w:val="002F390A"/>
    <w:rsid w:val="002F56F3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33123"/>
    <w:rsid w:val="00351E27"/>
    <w:rsid w:val="003602A1"/>
    <w:rsid w:val="00360843"/>
    <w:rsid w:val="00366D42"/>
    <w:rsid w:val="00375891"/>
    <w:rsid w:val="00390C9F"/>
    <w:rsid w:val="003931B9"/>
    <w:rsid w:val="003A434A"/>
    <w:rsid w:val="003A43CF"/>
    <w:rsid w:val="003B1417"/>
    <w:rsid w:val="003B4C34"/>
    <w:rsid w:val="003C34C8"/>
    <w:rsid w:val="003C4235"/>
    <w:rsid w:val="003C645C"/>
    <w:rsid w:val="003D01E9"/>
    <w:rsid w:val="003D34D0"/>
    <w:rsid w:val="003D5E25"/>
    <w:rsid w:val="003D747E"/>
    <w:rsid w:val="003F1B6F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C5FDA"/>
    <w:rsid w:val="004D0FBF"/>
    <w:rsid w:val="004D3B6C"/>
    <w:rsid w:val="004D6F35"/>
    <w:rsid w:val="004E2FB3"/>
    <w:rsid w:val="00502C6F"/>
    <w:rsid w:val="0052480D"/>
    <w:rsid w:val="00533A3B"/>
    <w:rsid w:val="00552443"/>
    <w:rsid w:val="00553334"/>
    <w:rsid w:val="00567F3E"/>
    <w:rsid w:val="00572892"/>
    <w:rsid w:val="0058288B"/>
    <w:rsid w:val="00587CDE"/>
    <w:rsid w:val="00591E21"/>
    <w:rsid w:val="005D1861"/>
    <w:rsid w:val="005D562A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3624"/>
    <w:rsid w:val="007847F0"/>
    <w:rsid w:val="00794E0C"/>
    <w:rsid w:val="007954E0"/>
    <w:rsid w:val="007973C3"/>
    <w:rsid w:val="007B054F"/>
    <w:rsid w:val="007B3D19"/>
    <w:rsid w:val="007D00B3"/>
    <w:rsid w:val="007D7D19"/>
    <w:rsid w:val="007E0547"/>
    <w:rsid w:val="007E41A8"/>
    <w:rsid w:val="007E448B"/>
    <w:rsid w:val="007F4D6A"/>
    <w:rsid w:val="007F5940"/>
    <w:rsid w:val="0080482A"/>
    <w:rsid w:val="00805200"/>
    <w:rsid w:val="00807AFC"/>
    <w:rsid w:val="0081734F"/>
    <w:rsid w:val="00820061"/>
    <w:rsid w:val="00821D97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4046"/>
    <w:rsid w:val="008A56E8"/>
    <w:rsid w:val="008A629E"/>
    <w:rsid w:val="008A7D3D"/>
    <w:rsid w:val="008B31D4"/>
    <w:rsid w:val="008D3594"/>
    <w:rsid w:val="008D73C8"/>
    <w:rsid w:val="008E1A49"/>
    <w:rsid w:val="008E3889"/>
    <w:rsid w:val="008F0383"/>
    <w:rsid w:val="008F7868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62018"/>
    <w:rsid w:val="009715C6"/>
    <w:rsid w:val="00977829"/>
    <w:rsid w:val="00981F33"/>
    <w:rsid w:val="00982440"/>
    <w:rsid w:val="00986AA8"/>
    <w:rsid w:val="00997CA1"/>
    <w:rsid w:val="009B3E44"/>
    <w:rsid w:val="009B454D"/>
    <w:rsid w:val="009C1D99"/>
    <w:rsid w:val="009D4A1F"/>
    <w:rsid w:val="009E52BD"/>
    <w:rsid w:val="00A2121B"/>
    <w:rsid w:val="00A304BF"/>
    <w:rsid w:val="00A310AE"/>
    <w:rsid w:val="00A4263C"/>
    <w:rsid w:val="00A46F12"/>
    <w:rsid w:val="00A5023C"/>
    <w:rsid w:val="00A65A6F"/>
    <w:rsid w:val="00A67AE7"/>
    <w:rsid w:val="00A7156F"/>
    <w:rsid w:val="00A7746D"/>
    <w:rsid w:val="00A80F69"/>
    <w:rsid w:val="00A844B5"/>
    <w:rsid w:val="00AB6A79"/>
    <w:rsid w:val="00AC77C3"/>
    <w:rsid w:val="00AE06AA"/>
    <w:rsid w:val="00AF06E2"/>
    <w:rsid w:val="00AF1212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93878"/>
    <w:rsid w:val="00BB4E35"/>
    <w:rsid w:val="00BB5D11"/>
    <w:rsid w:val="00BD25AB"/>
    <w:rsid w:val="00BD4617"/>
    <w:rsid w:val="00BE1580"/>
    <w:rsid w:val="00BE4BC8"/>
    <w:rsid w:val="00BE5C2D"/>
    <w:rsid w:val="00BF2100"/>
    <w:rsid w:val="00C03A03"/>
    <w:rsid w:val="00C12E8E"/>
    <w:rsid w:val="00C168DB"/>
    <w:rsid w:val="00C16D04"/>
    <w:rsid w:val="00C2221D"/>
    <w:rsid w:val="00C31577"/>
    <w:rsid w:val="00C436B7"/>
    <w:rsid w:val="00C43F6C"/>
    <w:rsid w:val="00C54143"/>
    <w:rsid w:val="00C60B64"/>
    <w:rsid w:val="00CA4627"/>
    <w:rsid w:val="00CA5DBB"/>
    <w:rsid w:val="00CC6660"/>
    <w:rsid w:val="00CD0F90"/>
    <w:rsid w:val="00D16301"/>
    <w:rsid w:val="00D21359"/>
    <w:rsid w:val="00D33936"/>
    <w:rsid w:val="00D53FA7"/>
    <w:rsid w:val="00D75E90"/>
    <w:rsid w:val="00D836FC"/>
    <w:rsid w:val="00DB49ED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13E3A"/>
    <w:rsid w:val="00F23933"/>
    <w:rsid w:val="00F279EF"/>
    <w:rsid w:val="00F303A3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cs="Arial Unicode MS"/>
      <w:color w:val="000000"/>
      <w:sz w:val="24"/>
      <w:szCs w:val="24"/>
      <w:u w:color="000000"/>
      <w:lang w:val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incstrkz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Jegyzetszveg">
    <w:name w:val="annotation text"/>
    <w:basedOn w:val="Norml"/>
    <w:link w:val="JegyzetszvegChar"/>
    <w:uiPriority w:val="99"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Pr>
      <w:rFonts w:cs="Arial Unicode MS"/>
      <w:color w:val="000000"/>
      <w:u w:color="000000"/>
      <w:lang w:val="en-US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llb">
    <w:name w:val="footer"/>
    <w:basedOn w:val="Norml"/>
    <w:link w:val="llb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1784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Vltozat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aszerbekezds">
    <w:name w:val="List Paragraph"/>
    <w:basedOn w:val="Norm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.hungary@gc.denta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.gce@gc.denta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c1d17fce74a62e6705d94eadb08a3bc6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aeb0c62f0cef6d708b81ea80932d09c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054dca1-9fe8-42e2-a84b-707413a6ec7c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ABEE51-179C-43C1-83EC-B2909E16AC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Hargitai, Reka</cp:lastModifiedBy>
  <cp:revision>23</cp:revision>
  <cp:lastPrinted>2020-01-21T15:04:00Z</cp:lastPrinted>
  <dcterms:created xsi:type="dcterms:W3CDTF">2025-12-04T09:29:00Z</dcterms:created>
  <dcterms:modified xsi:type="dcterms:W3CDTF">2025-12-04T10:00:00Z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