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83C586"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Nuestro objetivo es desarrollar y fortalecer relaciones duraderas</w:t>
      </w:r>
    </w:p>
    <w:p w14:paraId="733DA1AF"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 xml:space="preserve">Los días 3 y 4 de octubre, profesionales de la odontología de todo el mundo se reunirán en Tokio, Japón, para el sexto Simposio Dental Internacional de GC. Organizado como parte de las actividades del 105.º aniversario de GC, el programa científico y educativo de dos días se ampliará a una “Semana de la Excelencia” mediante recorridos locales únicos y oportunidades de </w:t>
      </w:r>
      <w:proofErr w:type="spellStart"/>
      <w:r w:rsidRPr="00736EE3">
        <w:rPr>
          <w:rFonts w:ascii="Avenir Next LT Pro" w:hAnsi="Avenir Next LT Pro"/>
          <w:color w:val="000000" w:themeColor="text1"/>
          <w:spacing w:val="5"/>
          <w:kern w:val="28"/>
          <w:sz w:val="22"/>
          <w:szCs w:val="22"/>
          <w:lang w:val="es-ES_tradnl"/>
        </w:rPr>
        <w:t>networking</w:t>
      </w:r>
      <w:proofErr w:type="spellEnd"/>
      <w:r w:rsidRPr="00736EE3">
        <w:rPr>
          <w:rFonts w:ascii="Avenir Next LT Pro" w:hAnsi="Avenir Next LT Pro"/>
          <w:color w:val="000000" w:themeColor="text1"/>
          <w:spacing w:val="5"/>
          <w:kern w:val="28"/>
          <w:sz w:val="22"/>
          <w:szCs w:val="22"/>
          <w:lang w:val="es-ES_tradnl"/>
        </w:rPr>
        <w:t>. Antes del evento, Dental Tribune International habló con Makoto Nakao, presidente del consejo de administración de GC Holding, y con el Dr. Per Falk, CEO de GC Holding, sobre el compromiso histórico de la empresa con la educación clínica y el papel del Simposio Dental Internacional en el apoyo al intercambio profesional y al aprendizaje.</w:t>
      </w:r>
    </w:p>
    <w:p w14:paraId="1E70A818"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GC se ha posicionado desde hace tiempo como una empresa altamente comprometida con el servicio a la profesión odontológica. ¿Cuáles son las principales responsabilidades operativas de la compañía?</w:t>
      </w:r>
    </w:p>
    <w:p w14:paraId="62ED5B63"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Nakao: Como fabricante, nuestras responsabilidades son triples: en primer lugar, desarrollar nuevas tecnologías y productos y ponerlos a disposición de los clientes; en segundo lugar, garantizar un suministro constante en términos de calidad, coste y entrega; y, en tercer lugar, apoyar a los clientes a medida que las tecnologías y metodologías se vuelven más complejas, incluso en áreas como software, formación y soporte.</w:t>
      </w:r>
    </w:p>
    <w:p w14:paraId="46D7C76C"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La educación siempre ha sido un eje central de las actividades globales de GC. ¿Por qué considera que la formación continua no es solo una obligación profesional, sino también una responsabilidad estratégica para un líder de la industria?</w:t>
      </w:r>
    </w:p>
    <w:p w14:paraId="5F0A47A2"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Dr. Falk: Apoyar la formación continua es una responsabilidad estratégica para las empresas del sector sanitario. Los pacientes no pueden elegir por sí mismos los productos dentales; esas decisiones las toman los profesionales de la odontología. Por esa razón, los profesionales dentales deben tener acceso a una formación adecuada y a una comprensión científica compartida para tomar las mejores decisiones para sus pacientes.</w:t>
      </w:r>
    </w:p>
    <w:p w14:paraId="286B040B"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lastRenderedPageBreak/>
        <w:t>En GC consideramos que la educación es fundamental en nuestra forma de operar. Seguimos cumpliendo nuestra responsabilidad formando a nuestro personal y convirtiendo la educación en una de nuestras actividades principales para la comunidad odontológica. Por ejemplo, a través del Simposio Dental Internacional de GC proporcionamos una plataforma importante para la interacción profesional y el intercambio de conocimientos.</w:t>
      </w:r>
    </w:p>
    <w:p w14:paraId="2C86ECF1"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El simposio se ha convertido en un evento global recurrente. ¿Por qué se lanzó originalmente el evento y cómo ha evolucionado su propósito?</w:t>
      </w:r>
    </w:p>
    <w:p w14:paraId="4F3CB650"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Nakao: El primer Simposio Dental Internacional de GC se celebró en 1996, en un momento en que GC se esforzaba por convertirse en una empresa verdaderamente internacional. Uno de los principales objetivos al lanzar el simposio fue crear una red global de ponentes y asesores. A través del simposio internacional, buscamos desarrollar y fortalecer relaciones duraderas con clínicos e investigadores de todo el mundo.</w:t>
      </w:r>
    </w:p>
    <w:p w14:paraId="672AEFF4"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 xml:space="preserve">Este año, el sexto Simposio Dental Internacional de GC se celebra en colaboración con la GC </w:t>
      </w:r>
      <w:proofErr w:type="spellStart"/>
      <w:r w:rsidRPr="00736EE3">
        <w:rPr>
          <w:rFonts w:ascii="Avenir Next LT Pro" w:hAnsi="Avenir Next LT Pro"/>
          <w:color w:val="000000" w:themeColor="text1"/>
          <w:spacing w:val="5"/>
          <w:kern w:val="28"/>
          <w:sz w:val="22"/>
          <w:szCs w:val="22"/>
          <w:lang w:val="es-ES_tradnl"/>
        </w:rPr>
        <w:t>Membership</w:t>
      </w:r>
      <w:proofErr w:type="spellEnd"/>
      <w:r w:rsidRPr="00736EE3">
        <w:rPr>
          <w:rFonts w:ascii="Avenir Next LT Pro" w:hAnsi="Avenir Next LT Pro"/>
          <w:color w:val="000000" w:themeColor="text1"/>
          <w:spacing w:val="5"/>
          <w:kern w:val="28"/>
          <w:sz w:val="22"/>
          <w:szCs w:val="22"/>
          <w:lang w:val="es-ES_tradnl"/>
        </w:rPr>
        <w:t xml:space="preserve"> </w:t>
      </w:r>
      <w:proofErr w:type="spellStart"/>
      <w:r w:rsidRPr="00736EE3">
        <w:rPr>
          <w:rFonts w:ascii="Avenir Next LT Pro" w:hAnsi="Avenir Next LT Pro"/>
          <w:color w:val="000000" w:themeColor="text1"/>
          <w:spacing w:val="5"/>
          <w:kern w:val="28"/>
          <w:sz w:val="22"/>
          <w:szCs w:val="22"/>
          <w:lang w:val="es-ES_tradnl"/>
        </w:rPr>
        <w:t>Society</w:t>
      </w:r>
      <w:proofErr w:type="spellEnd"/>
      <w:r w:rsidRPr="00736EE3">
        <w:rPr>
          <w:rFonts w:ascii="Avenir Next LT Pro" w:hAnsi="Avenir Next LT Pro"/>
          <w:color w:val="000000" w:themeColor="text1"/>
          <w:spacing w:val="5"/>
          <w:kern w:val="28"/>
          <w:sz w:val="22"/>
          <w:szCs w:val="22"/>
          <w:lang w:val="es-ES_tradnl"/>
        </w:rPr>
        <w:t xml:space="preserve">, que está conmemorando su 70.º aniversario. La GC </w:t>
      </w:r>
      <w:proofErr w:type="spellStart"/>
      <w:r w:rsidRPr="00736EE3">
        <w:rPr>
          <w:rFonts w:ascii="Avenir Next LT Pro" w:hAnsi="Avenir Next LT Pro"/>
          <w:color w:val="000000" w:themeColor="text1"/>
          <w:spacing w:val="5"/>
          <w:kern w:val="28"/>
          <w:sz w:val="22"/>
          <w:szCs w:val="22"/>
          <w:lang w:val="es-ES_tradnl"/>
        </w:rPr>
        <w:t>Membership</w:t>
      </w:r>
      <w:proofErr w:type="spellEnd"/>
      <w:r w:rsidRPr="00736EE3">
        <w:rPr>
          <w:rFonts w:ascii="Avenir Next LT Pro" w:hAnsi="Avenir Next LT Pro"/>
          <w:color w:val="000000" w:themeColor="text1"/>
          <w:spacing w:val="5"/>
          <w:kern w:val="28"/>
          <w:sz w:val="22"/>
          <w:szCs w:val="22"/>
          <w:lang w:val="es-ES_tradnl"/>
        </w:rPr>
        <w:t xml:space="preserve"> </w:t>
      </w:r>
      <w:proofErr w:type="spellStart"/>
      <w:r w:rsidRPr="00736EE3">
        <w:rPr>
          <w:rFonts w:ascii="Avenir Next LT Pro" w:hAnsi="Avenir Next LT Pro"/>
          <w:color w:val="000000" w:themeColor="text1"/>
          <w:spacing w:val="5"/>
          <w:kern w:val="28"/>
          <w:sz w:val="22"/>
          <w:szCs w:val="22"/>
          <w:lang w:val="es-ES_tradnl"/>
        </w:rPr>
        <w:t>Society</w:t>
      </w:r>
      <w:proofErr w:type="spellEnd"/>
      <w:r w:rsidRPr="00736EE3">
        <w:rPr>
          <w:rFonts w:ascii="Avenir Next LT Pro" w:hAnsi="Avenir Next LT Pro"/>
          <w:color w:val="000000" w:themeColor="text1"/>
          <w:spacing w:val="5"/>
          <w:kern w:val="28"/>
          <w:sz w:val="22"/>
          <w:szCs w:val="22"/>
          <w:lang w:val="es-ES_tradnl"/>
        </w:rPr>
        <w:t xml:space="preserve"> se estableció en 1956 basándose en la creencia de que los fabricantes deben trabajar estrechamente con sus clientes, como las ruedas de un carruaje, que solo avanzan cuando giran juntas. Desde el principio, el objetivo fue crear un vínculo fuerte y cercano entre clínicos, investigadores y fabricantes. Durante los últimos 70 años, la sociedad ha crecido continuamente, ampliando su membresía en numerosos países del mundo.</w:t>
      </w:r>
    </w:p>
    <w:p w14:paraId="75445C1F"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¿Qué distinguirá esta próxima edición de otros eventos científicos o congresos odontológicos organizados por la industria?</w:t>
      </w:r>
    </w:p>
    <w:p w14:paraId="5A8F1476"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 xml:space="preserve">Nakao: Bajo el tema de este año —“Reunir conocimiento, crear ‘8 mil millones’ de sonrisas”— hemos preparado varias actividades únicas que van más allá del formato tradicional de congreso. Por ejemplo, el programa incluye cursos prácticos antes y después del congreso, permitiendo a los profesionales participar activamente y adquirir experiencia práctica. Para fomentar aún más el intercambio y la interacción, también organizaremos una fiesta especial de </w:t>
      </w:r>
      <w:proofErr w:type="spellStart"/>
      <w:r w:rsidRPr="00736EE3">
        <w:rPr>
          <w:rFonts w:ascii="Avenir Next LT Pro" w:hAnsi="Avenir Next LT Pro"/>
          <w:color w:val="000000" w:themeColor="text1"/>
          <w:spacing w:val="5"/>
          <w:kern w:val="28"/>
          <w:sz w:val="22"/>
          <w:szCs w:val="22"/>
          <w:lang w:val="es-ES_tradnl"/>
        </w:rPr>
        <w:t>networking</w:t>
      </w:r>
      <w:proofErr w:type="spellEnd"/>
      <w:r w:rsidRPr="00736EE3">
        <w:rPr>
          <w:rFonts w:ascii="Avenir Next LT Pro" w:hAnsi="Avenir Next LT Pro"/>
          <w:color w:val="000000" w:themeColor="text1"/>
          <w:spacing w:val="5"/>
          <w:kern w:val="28"/>
          <w:sz w:val="22"/>
          <w:szCs w:val="22"/>
          <w:lang w:val="es-ES_tradnl"/>
        </w:rPr>
        <w:t xml:space="preserve"> al final del primer día. </w:t>
      </w:r>
      <w:r w:rsidRPr="00736EE3">
        <w:rPr>
          <w:rFonts w:ascii="Avenir Next LT Pro" w:hAnsi="Avenir Next LT Pro"/>
          <w:color w:val="000000" w:themeColor="text1"/>
          <w:spacing w:val="5"/>
          <w:kern w:val="28"/>
          <w:sz w:val="22"/>
          <w:szCs w:val="22"/>
          <w:lang w:val="es-ES_tradnl"/>
        </w:rPr>
        <w:lastRenderedPageBreak/>
        <w:t>Como se espera la asistencia de más de 2.000 participantes, la fiesta ofrecerá una valiosa oportunidad para reunirse, compartir experiencias e intercambiar opiniones en un entorno abierto y dinámico. Además, hemos organizado una visita guiada oficial a la fábrica de GC en Oyama, cerca del monte Fuji, que permitirá a los participantes conocer directamente nuestra filosofía de fabricación.</w:t>
      </w:r>
    </w:p>
    <w:p w14:paraId="3E10CECE"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GC es conocida por fomentar una estrecha colaboración entre clínicos, investigadores y profesionales de la industria. ¿Cómo se refleja este intercambio multidisciplinario en el programa y en la selección de ponentes para el simposio de este año?</w:t>
      </w:r>
    </w:p>
    <w:p w14:paraId="25DA89CE"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Dr. Falk: Nuestro objetivo es fomentar interacciones dinámicas y enriquecedoras. El programa reúne a profesionales de la odontología altamente experimentados y con amplios conocimientos, dispuestos a compartir casos clínicos y experiencias reales, permitiendo que otros participen activamente y aprendan.</w:t>
      </w:r>
    </w:p>
    <w:p w14:paraId="4BE57CED"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Más allá de las presentaciones formales, reconocemos el valor del intercambio informal e interpersonal. Dada la amplitud y diversidad de los participantes, el simposio está diseñado para ofrecer un foro científico abierto en el que las ideas puedan intercambiarse libremente con el objetivo común de impulsar la odontología a través de la colaboración.</w:t>
      </w:r>
    </w:p>
    <w:p w14:paraId="3DF668D0"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Desde una perspectiva de liderazgo, ¿cómo contribuyen iniciativas educativas globales como este simposio a dar forma al futuro de la odontología más allá de productos o tecnologías individuales?</w:t>
      </w:r>
    </w:p>
    <w:p w14:paraId="311FCFCD"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Dr. Falk: Los productos dentales individuales responden a necesidades clínicas y casos específicos, pero es importante reconocer la odontología como una disciplina integral. La salud oral está estrechamente vinculada a la fisiología humana, y cada producto desempeña un papel en su apoyo; sin embargo, el impacto global proviene de un enfoque integral.</w:t>
      </w:r>
    </w:p>
    <w:p w14:paraId="2C73B5F4"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 xml:space="preserve">El simposio nos permite adoptar una perspectiva más amplia sobre la salud oral y debatir qué aspectos todavía deben mejorarse para lograr mejores resultados a nivel mundial. La innovación no se limita a los productos; también implica mejorar el acceso a la atención odontológica. Mejorar el acceso es uno de los mayores desafíos </w:t>
      </w:r>
      <w:r w:rsidRPr="00736EE3">
        <w:rPr>
          <w:rFonts w:ascii="Avenir Next LT Pro" w:hAnsi="Avenir Next LT Pro"/>
          <w:color w:val="000000" w:themeColor="text1"/>
          <w:spacing w:val="5"/>
          <w:kern w:val="28"/>
          <w:sz w:val="22"/>
          <w:szCs w:val="22"/>
          <w:lang w:val="es-ES_tradnl"/>
        </w:rPr>
        <w:lastRenderedPageBreak/>
        <w:t>de la odontología en todo el mundo, especialmente en las regiones menos desarrolladas, donde la asequibilidad es un factor crítico para determinar si la atención puede brindarse o no. Más allá de la tecnología, plataformas como el simposio ayudan reuniendo a diferentes actores para debatir cómo mejorar la atención a nivel global. En este contexto, iniciativas como la Fundación Nakao, dedicada a la salud oral mundial, desempeñan un papel importante como vehículos para iniciar el diálogo entre los sectores público y privado. GC aspira a ser pionera en esta conversación y un ejemplo para otros en la contribución a una mejor salud oral global.</w:t>
      </w:r>
    </w:p>
    <w:p w14:paraId="6E181A3E"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Citas:</w:t>
      </w:r>
    </w:p>
    <w:p w14:paraId="2DB3BD1A"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“A través del Simposio Dental Internacional de GC proporcionamos una plataforma importante para la interacción profesional y el intercambio de conocimientos.” — Dr. Per Falk, CEO de GC Holding</w:t>
      </w:r>
    </w:p>
    <w:p w14:paraId="636A5C98"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“Hemos preparado varias actividades únicas que van más allá del formato tradicional de congreso.” — Makoto Nakao, presidente del consejo de administración de GC Holding</w:t>
      </w:r>
    </w:p>
    <w:p w14:paraId="026F1E5F" w14:textId="77777777" w:rsidR="00736EE3" w:rsidRPr="00736EE3" w:rsidRDefault="00736EE3" w:rsidP="00736EE3">
      <w:pPr>
        <w:spacing w:line="360" w:lineRule="auto"/>
        <w:ind w:left="-990" w:right="-868"/>
        <w:rPr>
          <w:rFonts w:ascii="Avenir Next LT Pro" w:hAnsi="Avenir Next LT Pro"/>
          <w:b/>
          <w:bCs/>
          <w:color w:val="000000" w:themeColor="text1"/>
          <w:spacing w:val="5"/>
          <w:kern w:val="28"/>
          <w:sz w:val="22"/>
          <w:szCs w:val="22"/>
          <w:lang w:val="es-ES_tradnl"/>
        </w:rPr>
      </w:pPr>
      <w:r w:rsidRPr="00736EE3">
        <w:rPr>
          <w:rFonts w:ascii="Avenir Next LT Pro" w:hAnsi="Avenir Next LT Pro"/>
          <w:b/>
          <w:bCs/>
          <w:color w:val="000000" w:themeColor="text1"/>
          <w:spacing w:val="5"/>
          <w:kern w:val="28"/>
          <w:sz w:val="22"/>
          <w:szCs w:val="22"/>
          <w:lang w:val="es-ES_tradnl"/>
        </w:rPr>
        <w:t>Nota editorial:</w:t>
      </w:r>
    </w:p>
    <w:p w14:paraId="7BECCC3E" w14:textId="77777777" w:rsidR="00736EE3" w:rsidRPr="00736EE3" w:rsidRDefault="00736EE3" w:rsidP="00736EE3">
      <w:pPr>
        <w:spacing w:line="360" w:lineRule="auto"/>
        <w:ind w:left="-990" w:right="-868"/>
        <w:rPr>
          <w:rFonts w:ascii="Avenir Next LT Pro" w:hAnsi="Avenir Next LT Pro"/>
          <w:color w:val="000000" w:themeColor="text1"/>
          <w:spacing w:val="5"/>
          <w:kern w:val="28"/>
          <w:sz w:val="22"/>
          <w:szCs w:val="22"/>
          <w:lang w:val="es-ES_tradnl"/>
        </w:rPr>
      </w:pPr>
      <w:r w:rsidRPr="00736EE3">
        <w:rPr>
          <w:rFonts w:ascii="Avenir Next LT Pro" w:hAnsi="Avenir Next LT Pro"/>
          <w:color w:val="000000" w:themeColor="text1"/>
          <w:spacing w:val="5"/>
          <w:kern w:val="28"/>
          <w:sz w:val="22"/>
          <w:szCs w:val="22"/>
          <w:lang w:val="es-ES_tradnl"/>
        </w:rPr>
        <w:t xml:space="preserve">Puede encontrarse más información sobre el simposio en </w:t>
      </w:r>
      <w:hyperlink r:id="rId10" w:tgtFrame="_new" w:history="1">
        <w:r w:rsidRPr="00736EE3">
          <w:rPr>
            <w:rStyle w:val="Hyperlink"/>
            <w:rFonts w:ascii="Avenir Next LT Pro" w:hAnsi="Avenir Next LT Pro"/>
            <w:spacing w:val="5"/>
            <w:kern w:val="28"/>
            <w:sz w:val="22"/>
            <w:szCs w:val="22"/>
            <w:lang w:val="es-ES_tradnl"/>
          </w:rPr>
          <w:t>www.gcdentalcampus.com/en/the-6-th-international-dental-symposium</w:t>
        </w:r>
      </w:hyperlink>
      <w:r w:rsidRPr="00736EE3">
        <w:rPr>
          <w:rFonts w:ascii="Avenir Next LT Pro" w:hAnsi="Avenir Next LT Pro"/>
          <w:color w:val="000000" w:themeColor="text1"/>
          <w:spacing w:val="5"/>
          <w:kern w:val="28"/>
          <w:sz w:val="22"/>
          <w:szCs w:val="22"/>
          <w:lang w:val="es-ES_tradnl"/>
        </w:rPr>
        <w:t>.</w:t>
      </w:r>
    </w:p>
    <w:p w14:paraId="0A369E0E" w14:textId="77777777" w:rsidR="00736EE3" w:rsidRPr="00736EE3" w:rsidRDefault="00736EE3" w:rsidP="007D7BF6">
      <w:pPr>
        <w:spacing w:line="360" w:lineRule="auto"/>
        <w:ind w:left="-990" w:right="-868"/>
        <w:rPr>
          <w:rStyle w:val="Hyperlink"/>
          <w:rFonts w:ascii="Avenir Next LT Pro" w:hAnsi="Avenir Next LT Pro"/>
          <w:color w:val="000000" w:themeColor="text1"/>
          <w:spacing w:val="5"/>
          <w:kern w:val="28"/>
          <w:sz w:val="22"/>
          <w:szCs w:val="22"/>
          <w:u w:val="none"/>
          <w:lang w:val="es-ES_tradnl"/>
        </w:rPr>
      </w:pPr>
    </w:p>
    <w:p w14:paraId="608C6D43" w14:textId="77777777" w:rsidR="008C0DA6" w:rsidRPr="00736EE3" w:rsidRDefault="008C0DA6" w:rsidP="007D7BF6">
      <w:pPr>
        <w:spacing w:line="360" w:lineRule="auto"/>
        <w:ind w:left="-990" w:right="-868"/>
        <w:rPr>
          <w:rStyle w:val="Hyperlink"/>
          <w:rFonts w:ascii="Avenir Next LT Pro" w:hAnsi="Avenir Next LT Pro"/>
          <w:color w:val="000000" w:themeColor="text1"/>
          <w:spacing w:val="5"/>
          <w:kern w:val="28"/>
          <w:sz w:val="22"/>
          <w:szCs w:val="22"/>
          <w:u w:val="none"/>
          <w:lang w:val="es-ES_tradnl"/>
        </w:rPr>
      </w:pPr>
    </w:p>
    <w:p w14:paraId="0B3DC56D" w14:textId="77777777" w:rsidR="002736AA" w:rsidRPr="004337D3" w:rsidRDefault="002736AA" w:rsidP="002736AA">
      <w:pPr>
        <w:spacing w:line="360" w:lineRule="auto"/>
        <w:ind w:left="-990" w:right="-868"/>
        <w:rPr>
          <w:rFonts w:ascii="Avenir Next LT Pro" w:hAnsi="Avenir Next LT Pro"/>
          <w:b/>
          <w:bCs/>
          <w:color w:val="000000" w:themeColor="text1"/>
          <w:spacing w:val="5"/>
          <w:kern w:val="28"/>
          <w:sz w:val="22"/>
          <w:szCs w:val="22"/>
          <w:u w:color="464646"/>
          <w:lang w:val="en-BE"/>
        </w:rPr>
      </w:pPr>
      <w:r w:rsidRPr="004337D3">
        <w:rPr>
          <w:rFonts w:ascii="Avenir Next LT Pro" w:hAnsi="Avenir Next LT Pro"/>
          <w:b/>
          <w:bCs/>
          <w:color w:val="000000" w:themeColor="text1"/>
          <w:spacing w:val="5"/>
          <w:kern w:val="28"/>
          <w:sz w:val="22"/>
          <w:szCs w:val="22"/>
          <w:u w:color="464646"/>
          <w:lang w:val="en-BE"/>
        </w:rPr>
        <w:t>GC IBÉRICA Dental Products, S.L.</w:t>
      </w:r>
    </w:p>
    <w:p w14:paraId="5BCBAEE7" w14:textId="77777777" w:rsidR="002736AA" w:rsidRPr="004337D3" w:rsidRDefault="002736AA" w:rsidP="002736AA">
      <w:pPr>
        <w:spacing w:line="360" w:lineRule="auto"/>
        <w:ind w:left="-990" w:right="-868"/>
        <w:rPr>
          <w:rFonts w:ascii="Avenir Next LT Pro" w:hAnsi="Avenir Next LT Pro"/>
          <w:bCs/>
          <w:color w:val="000000" w:themeColor="text1"/>
          <w:spacing w:val="5"/>
          <w:kern w:val="28"/>
          <w:sz w:val="22"/>
          <w:szCs w:val="22"/>
          <w:u w:color="464646"/>
          <w:lang w:val="en-BE"/>
        </w:rPr>
      </w:pPr>
      <w:proofErr w:type="spellStart"/>
      <w:r w:rsidRPr="004337D3">
        <w:rPr>
          <w:rFonts w:ascii="Avenir Next LT Pro" w:hAnsi="Avenir Next LT Pro"/>
          <w:bCs/>
          <w:color w:val="000000" w:themeColor="text1"/>
          <w:spacing w:val="5"/>
          <w:kern w:val="28"/>
          <w:sz w:val="22"/>
          <w:szCs w:val="22"/>
          <w:u w:color="464646"/>
          <w:lang w:val="en-BE"/>
        </w:rPr>
        <w:t>Edificio</w:t>
      </w:r>
      <w:proofErr w:type="spellEnd"/>
      <w:r w:rsidRPr="004337D3">
        <w:rPr>
          <w:rFonts w:ascii="Avenir Next LT Pro" w:hAnsi="Avenir Next LT Pro"/>
          <w:bCs/>
          <w:color w:val="000000" w:themeColor="text1"/>
          <w:spacing w:val="5"/>
          <w:kern w:val="28"/>
          <w:sz w:val="22"/>
          <w:szCs w:val="22"/>
          <w:u w:color="464646"/>
          <w:lang w:val="en-BE"/>
        </w:rPr>
        <w:t xml:space="preserve"> </w:t>
      </w:r>
      <w:proofErr w:type="spellStart"/>
      <w:r w:rsidRPr="004337D3">
        <w:rPr>
          <w:rFonts w:ascii="Avenir Next LT Pro" w:hAnsi="Avenir Next LT Pro"/>
          <w:bCs/>
          <w:color w:val="000000" w:themeColor="text1"/>
          <w:spacing w:val="5"/>
          <w:kern w:val="28"/>
          <w:sz w:val="22"/>
          <w:szCs w:val="22"/>
          <w:u w:color="464646"/>
          <w:lang w:val="en-BE"/>
        </w:rPr>
        <w:t>Codesa</w:t>
      </w:r>
      <w:proofErr w:type="spellEnd"/>
      <w:r w:rsidRPr="004337D3">
        <w:rPr>
          <w:rFonts w:ascii="Avenir Next LT Pro" w:hAnsi="Avenir Next LT Pro"/>
          <w:bCs/>
          <w:color w:val="000000" w:themeColor="text1"/>
          <w:spacing w:val="5"/>
          <w:kern w:val="28"/>
          <w:sz w:val="22"/>
          <w:szCs w:val="22"/>
          <w:u w:color="464646"/>
          <w:lang w:val="en-BE"/>
        </w:rPr>
        <w:t xml:space="preserve"> 2 Playa de las Americas, 2, 1°, Of. 4</w:t>
      </w:r>
      <w:r w:rsidRPr="004337D3">
        <w:rPr>
          <w:rFonts w:ascii="Avenir Next LT Pro" w:hAnsi="Avenir Next LT Pro"/>
          <w:bCs/>
          <w:color w:val="000000" w:themeColor="text1"/>
          <w:spacing w:val="5"/>
          <w:kern w:val="28"/>
          <w:sz w:val="22"/>
          <w:szCs w:val="22"/>
          <w:u w:color="464646"/>
          <w:lang w:val="en-BE"/>
        </w:rPr>
        <w:br/>
        <w:t>28290 Las Rozas, Madrid</w:t>
      </w:r>
      <w:r w:rsidRPr="004337D3">
        <w:rPr>
          <w:rFonts w:ascii="Avenir Next LT Pro" w:hAnsi="Avenir Next LT Pro"/>
          <w:bCs/>
          <w:color w:val="000000" w:themeColor="text1"/>
          <w:spacing w:val="5"/>
          <w:kern w:val="28"/>
          <w:sz w:val="22"/>
          <w:szCs w:val="22"/>
          <w:u w:color="464646"/>
          <w:lang w:val="en-BE"/>
        </w:rPr>
        <w:br/>
        <w:t>Spain</w:t>
      </w:r>
    </w:p>
    <w:p w14:paraId="3001B89F" w14:textId="77777777" w:rsidR="002736AA" w:rsidRPr="004337D3" w:rsidRDefault="002736AA" w:rsidP="002736AA">
      <w:pPr>
        <w:spacing w:line="360" w:lineRule="auto"/>
        <w:ind w:left="-990" w:right="-868"/>
        <w:rPr>
          <w:rFonts w:ascii="Avenir Next LT Pro" w:hAnsi="Avenir Next LT Pro"/>
          <w:bCs/>
          <w:color w:val="000000" w:themeColor="text1"/>
          <w:spacing w:val="5"/>
          <w:kern w:val="28"/>
          <w:sz w:val="22"/>
          <w:szCs w:val="22"/>
          <w:u w:color="464646"/>
          <w:lang w:val="en-BE"/>
        </w:rPr>
      </w:pPr>
      <w:r w:rsidRPr="004337D3">
        <w:rPr>
          <w:rFonts w:ascii="Avenir Next LT Pro" w:hAnsi="Avenir Next LT Pro"/>
          <w:bCs/>
          <w:color w:val="000000" w:themeColor="text1"/>
          <w:spacing w:val="5"/>
          <w:kern w:val="28"/>
          <w:sz w:val="22"/>
          <w:szCs w:val="22"/>
          <w:u w:color="464646"/>
          <w:lang w:val="en-BE"/>
        </w:rPr>
        <w:t>+34 916 36 43 40</w:t>
      </w:r>
    </w:p>
    <w:p w14:paraId="4D148A65" w14:textId="77777777" w:rsidR="002736AA" w:rsidRPr="004337D3" w:rsidRDefault="002736AA" w:rsidP="002736AA">
      <w:pPr>
        <w:spacing w:line="360" w:lineRule="auto"/>
        <w:ind w:left="-990" w:right="-868"/>
        <w:rPr>
          <w:rFonts w:ascii="Avenir Next LT Pro" w:hAnsi="Avenir Next LT Pro"/>
          <w:bCs/>
          <w:color w:val="000000" w:themeColor="text1"/>
          <w:spacing w:val="5"/>
          <w:kern w:val="28"/>
          <w:sz w:val="22"/>
          <w:szCs w:val="22"/>
          <w:u w:color="464646"/>
          <w:lang w:val="en-BE"/>
        </w:rPr>
      </w:pPr>
      <w:r w:rsidRPr="004337D3">
        <w:rPr>
          <w:rFonts w:ascii="Avenir Next LT Pro" w:hAnsi="Avenir Next LT Pro"/>
          <w:bCs/>
          <w:color w:val="000000" w:themeColor="text1"/>
          <w:spacing w:val="5"/>
          <w:kern w:val="28"/>
          <w:sz w:val="22"/>
          <w:szCs w:val="22"/>
          <w:u w:color="464646"/>
          <w:lang w:val="en-BE"/>
        </w:rPr>
        <w:t>+34 916 36 43 41</w:t>
      </w:r>
    </w:p>
    <w:p w14:paraId="280E2E58" w14:textId="77777777" w:rsidR="002736AA" w:rsidRPr="004337D3" w:rsidRDefault="002736AA" w:rsidP="002736AA">
      <w:pPr>
        <w:spacing w:line="360" w:lineRule="auto"/>
        <w:ind w:left="-990" w:right="-868"/>
        <w:rPr>
          <w:rFonts w:ascii="Avenir Next LT Pro" w:hAnsi="Avenir Next LT Pro"/>
          <w:bCs/>
          <w:color w:val="000000" w:themeColor="text1"/>
          <w:spacing w:val="5"/>
          <w:kern w:val="28"/>
          <w:sz w:val="22"/>
          <w:szCs w:val="22"/>
          <w:u w:color="464646"/>
          <w:lang w:val="en-BE"/>
        </w:rPr>
      </w:pPr>
      <w:hyperlink r:id="rId11" w:history="1">
        <w:r w:rsidRPr="004337D3">
          <w:rPr>
            <w:rStyle w:val="Hyperlink"/>
            <w:rFonts w:ascii="Avenir Next LT Pro" w:hAnsi="Avenir Next LT Pro"/>
            <w:bCs/>
            <w:spacing w:val="5"/>
            <w:kern w:val="28"/>
            <w:sz w:val="22"/>
            <w:szCs w:val="22"/>
            <w:lang w:val="en-BE"/>
          </w:rPr>
          <w:t>comercial.spain@gc.dental</w:t>
        </w:r>
      </w:hyperlink>
    </w:p>
    <w:p w14:paraId="29D9B2A3" w14:textId="43149DCA" w:rsidR="008C0DA6" w:rsidRPr="002736AA" w:rsidRDefault="002736AA" w:rsidP="002736AA">
      <w:pPr>
        <w:spacing w:line="360" w:lineRule="auto"/>
        <w:ind w:left="-990" w:right="-868"/>
        <w:rPr>
          <w:rStyle w:val="Hyperlink"/>
          <w:rFonts w:ascii="Avenir Next LT Pro" w:hAnsi="Avenir Next LT Pro"/>
          <w:color w:val="000000" w:themeColor="text1"/>
          <w:spacing w:val="5"/>
          <w:kern w:val="28"/>
          <w:sz w:val="22"/>
          <w:szCs w:val="22"/>
          <w:u w:val="none"/>
          <w:lang w:val="en-BE"/>
        </w:rPr>
      </w:pPr>
      <w:hyperlink r:id="rId12" w:tgtFrame="_blank" w:history="1">
        <w:r w:rsidRPr="004337D3">
          <w:rPr>
            <w:rStyle w:val="Hyperlink"/>
            <w:rFonts w:ascii="Avenir Next LT Pro" w:hAnsi="Avenir Next LT Pro"/>
            <w:bCs/>
            <w:spacing w:val="5"/>
            <w:kern w:val="28"/>
            <w:sz w:val="22"/>
            <w:szCs w:val="22"/>
            <w:lang w:val="en-BE"/>
          </w:rPr>
          <w:t>www.gc.dental/europe/es-ES</w:t>
        </w:r>
      </w:hyperlink>
    </w:p>
    <w:sectPr w:rsidR="008C0DA6" w:rsidRPr="002736AA" w:rsidSect="00375891">
      <w:headerReference w:type="default" r:id="rId13"/>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AB7C" w14:textId="77777777" w:rsidR="005B51CA" w:rsidRDefault="005B51CA">
      <w:r>
        <w:separator/>
      </w:r>
    </w:p>
  </w:endnote>
  <w:endnote w:type="continuationSeparator" w:id="0">
    <w:p w14:paraId="167495DD" w14:textId="77777777" w:rsidR="005B51CA" w:rsidRDefault="005B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2C67" w14:textId="77777777" w:rsidR="005B51CA" w:rsidRDefault="005B51CA">
      <w:r>
        <w:separator/>
      </w:r>
    </w:p>
  </w:footnote>
  <w:footnote w:type="continuationSeparator" w:id="0">
    <w:p w14:paraId="559F324E" w14:textId="77777777" w:rsidR="005B51CA" w:rsidRDefault="005B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443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B71DB"/>
    <w:rsid w:val="000C3B2B"/>
    <w:rsid w:val="000D1716"/>
    <w:rsid w:val="000E0961"/>
    <w:rsid w:val="000E4999"/>
    <w:rsid w:val="00102286"/>
    <w:rsid w:val="00106786"/>
    <w:rsid w:val="00107638"/>
    <w:rsid w:val="00112618"/>
    <w:rsid w:val="00116E35"/>
    <w:rsid w:val="00121317"/>
    <w:rsid w:val="0014534A"/>
    <w:rsid w:val="0016511A"/>
    <w:rsid w:val="00167D45"/>
    <w:rsid w:val="00176AEF"/>
    <w:rsid w:val="001A6393"/>
    <w:rsid w:val="001B5343"/>
    <w:rsid w:val="001B5373"/>
    <w:rsid w:val="001C1388"/>
    <w:rsid w:val="001E2384"/>
    <w:rsid w:val="001E3E8C"/>
    <w:rsid w:val="001F133E"/>
    <w:rsid w:val="00204E47"/>
    <w:rsid w:val="00206A13"/>
    <w:rsid w:val="002107C7"/>
    <w:rsid w:val="00214EAE"/>
    <w:rsid w:val="00236B8D"/>
    <w:rsid w:val="00247359"/>
    <w:rsid w:val="00270FCD"/>
    <w:rsid w:val="002736AA"/>
    <w:rsid w:val="00283337"/>
    <w:rsid w:val="00291EEA"/>
    <w:rsid w:val="002974A2"/>
    <w:rsid w:val="002A1F4F"/>
    <w:rsid w:val="002A4426"/>
    <w:rsid w:val="002B1AEA"/>
    <w:rsid w:val="002B600C"/>
    <w:rsid w:val="002C389F"/>
    <w:rsid w:val="002E51F2"/>
    <w:rsid w:val="002F65E9"/>
    <w:rsid w:val="003042DF"/>
    <w:rsid w:val="00312F6E"/>
    <w:rsid w:val="00315091"/>
    <w:rsid w:val="00315989"/>
    <w:rsid w:val="00321DE6"/>
    <w:rsid w:val="0032290E"/>
    <w:rsid w:val="00325206"/>
    <w:rsid w:val="00327168"/>
    <w:rsid w:val="00344E04"/>
    <w:rsid w:val="00354BC5"/>
    <w:rsid w:val="003602A1"/>
    <w:rsid w:val="003734A5"/>
    <w:rsid w:val="00375891"/>
    <w:rsid w:val="00390C9F"/>
    <w:rsid w:val="003A434A"/>
    <w:rsid w:val="003B1417"/>
    <w:rsid w:val="003B4C34"/>
    <w:rsid w:val="003C645C"/>
    <w:rsid w:val="003D5E25"/>
    <w:rsid w:val="003F1B6F"/>
    <w:rsid w:val="0040689B"/>
    <w:rsid w:val="00406F8C"/>
    <w:rsid w:val="00412841"/>
    <w:rsid w:val="0042327B"/>
    <w:rsid w:val="004413E2"/>
    <w:rsid w:val="00444A98"/>
    <w:rsid w:val="00453816"/>
    <w:rsid w:val="0046612F"/>
    <w:rsid w:val="00480DBA"/>
    <w:rsid w:val="00481DAB"/>
    <w:rsid w:val="0049147A"/>
    <w:rsid w:val="00492F65"/>
    <w:rsid w:val="00495DD2"/>
    <w:rsid w:val="004A245C"/>
    <w:rsid w:val="004A2F2B"/>
    <w:rsid w:val="004C3D5F"/>
    <w:rsid w:val="004C48D0"/>
    <w:rsid w:val="004D0FBF"/>
    <w:rsid w:val="004D3B6C"/>
    <w:rsid w:val="004D7359"/>
    <w:rsid w:val="004E2FB3"/>
    <w:rsid w:val="00502C6F"/>
    <w:rsid w:val="0052480D"/>
    <w:rsid w:val="00534BB3"/>
    <w:rsid w:val="00540161"/>
    <w:rsid w:val="00552443"/>
    <w:rsid w:val="00567F3E"/>
    <w:rsid w:val="00572892"/>
    <w:rsid w:val="00585CF1"/>
    <w:rsid w:val="00587CDE"/>
    <w:rsid w:val="005A631B"/>
    <w:rsid w:val="005B51CA"/>
    <w:rsid w:val="005B6F68"/>
    <w:rsid w:val="005D1861"/>
    <w:rsid w:val="005D7797"/>
    <w:rsid w:val="005E7894"/>
    <w:rsid w:val="005F0941"/>
    <w:rsid w:val="00610AAC"/>
    <w:rsid w:val="006125B9"/>
    <w:rsid w:val="00614BAD"/>
    <w:rsid w:val="00616A54"/>
    <w:rsid w:val="00616F42"/>
    <w:rsid w:val="00617D27"/>
    <w:rsid w:val="0062260E"/>
    <w:rsid w:val="006306F3"/>
    <w:rsid w:val="00631D36"/>
    <w:rsid w:val="0063721E"/>
    <w:rsid w:val="00642020"/>
    <w:rsid w:val="00653F7E"/>
    <w:rsid w:val="00657BB0"/>
    <w:rsid w:val="0066042E"/>
    <w:rsid w:val="00671E66"/>
    <w:rsid w:val="00681CE3"/>
    <w:rsid w:val="006822E2"/>
    <w:rsid w:val="006C4362"/>
    <w:rsid w:val="006C68FF"/>
    <w:rsid w:val="006D0C1F"/>
    <w:rsid w:val="006E56D1"/>
    <w:rsid w:val="0070518E"/>
    <w:rsid w:val="0072441C"/>
    <w:rsid w:val="00736EE3"/>
    <w:rsid w:val="00737C03"/>
    <w:rsid w:val="00775ABD"/>
    <w:rsid w:val="00776B7A"/>
    <w:rsid w:val="00776E54"/>
    <w:rsid w:val="007847F0"/>
    <w:rsid w:val="007973C3"/>
    <w:rsid w:val="007B054F"/>
    <w:rsid w:val="007C15C6"/>
    <w:rsid w:val="007C2FD8"/>
    <w:rsid w:val="007D00B3"/>
    <w:rsid w:val="007D7BF6"/>
    <w:rsid w:val="007D7D19"/>
    <w:rsid w:val="007D7E77"/>
    <w:rsid w:val="007E0547"/>
    <w:rsid w:val="007E41A8"/>
    <w:rsid w:val="007E448B"/>
    <w:rsid w:val="0080482A"/>
    <w:rsid w:val="00805200"/>
    <w:rsid w:val="00807AFC"/>
    <w:rsid w:val="00817F8A"/>
    <w:rsid w:val="00821D97"/>
    <w:rsid w:val="00836BDC"/>
    <w:rsid w:val="00850425"/>
    <w:rsid w:val="008663A4"/>
    <w:rsid w:val="00867C29"/>
    <w:rsid w:val="008753D9"/>
    <w:rsid w:val="00881F99"/>
    <w:rsid w:val="008A56E8"/>
    <w:rsid w:val="008A629E"/>
    <w:rsid w:val="008A6A83"/>
    <w:rsid w:val="008A7D3D"/>
    <w:rsid w:val="008C0DA6"/>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230"/>
    <w:rsid w:val="009D4A1F"/>
    <w:rsid w:val="009E3F70"/>
    <w:rsid w:val="009E52BD"/>
    <w:rsid w:val="00A304BF"/>
    <w:rsid w:val="00A5023C"/>
    <w:rsid w:val="00A65A6F"/>
    <w:rsid w:val="00A67AE7"/>
    <w:rsid w:val="00A7156F"/>
    <w:rsid w:val="00A75B62"/>
    <w:rsid w:val="00A7746D"/>
    <w:rsid w:val="00A80F69"/>
    <w:rsid w:val="00A844B5"/>
    <w:rsid w:val="00AC7463"/>
    <w:rsid w:val="00AC77C3"/>
    <w:rsid w:val="00AD7A84"/>
    <w:rsid w:val="00AE06AA"/>
    <w:rsid w:val="00AF2CC4"/>
    <w:rsid w:val="00B0362E"/>
    <w:rsid w:val="00B04612"/>
    <w:rsid w:val="00B0625B"/>
    <w:rsid w:val="00B113EF"/>
    <w:rsid w:val="00B1164E"/>
    <w:rsid w:val="00B204D3"/>
    <w:rsid w:val="00B20BBD"/>
    <w:rsid w:val="00B20FF6"/>
    <w:rsid w:val="00B35D1C"/>
    <w:rsid w:val="00B37943"/>
    <w:rsid w:val="00B449F7"/>
    <w:rsid w:val="00B80A18"/>
    <w:rsid w:val="00B85591"/>
    <w:rsid w:val="00BB0B08"/>
    <w:rsid w:val="00BB5D11"/>
    <w:rsid w:val="00BD25AB"/>
    <w:rsid w:val="00BD4617"/>
    <w:rsid w:val="00BD7C34"/>
    <w:rsid w:val="00BE1580"/>
    <w:rsid w:val="00BE5C2D"/>
    <w:rsid w:val="00C12E8E"/>
    <w:rsid w:val="00C2221D"/>
    <w:rsid w:val="00C354ED"/>
    <w:rsid w:val="00C40928"/>
    <w:rsid w:val="00C436B7"/>
    <w:rsid w:val="00C5099A"/>
    <w:rsid w:val="00C57AA0"/>
    <w:rsid w:val="00C60B64"/>
    <w:rsid w:val="00CA3FE2"/>
    <w:rsid w:val="00CA5DBB"/>
    <w:rsid w:val="00CC6660"/>
    <w:rsid w:val="00D02073"/>
    <w:rsid w:val="00D16301"/>
    <w:rsid w:val="00D21359"/>
    <w:rsid w:val="00D26360"/>
    <w:rsid w:val="00D33936"/>
    <w:rsid w:val="00D47601"/>
    <w:rsid w:val="00D754B0"/>
    <w:rsid w:val="00D820C2"/>
    <w:rsid w:val="00DB50BD"/>
    <w:rsid w:val="00DC1238"/>
    <w:rsid w:val="00DC62A2"/>
    <w:rsid w:val="00DD11C7"/>
    <w:rsid w:val="00DD4ADD"/>
    <w:rsid w:val="00DF2CD3"/>
    <w:rsid w:val="00DF3946"/>
    <w:rsid w:val="00E00439"/>
    <w:rsid w:val="00E0242B"/>
    <w:rsid w:val="00E051D7"/>
    <w:rsid w:val="00E07420"/>
    <w:rsid w:val="00E1779E"/>
    <w:rsid w:val="00E22533"/>
    <w:rsid w:val="00E23C42"/>
    <w:rsid w:val="00E259E9"/>
    <w:rsid w:val="00E26DFB"/>
    <w:rsid w:val="00E34C95"/>
    <w:rsid w:val="00E37A44"/>
    <w:rsid w:val="00E50D63"/>
    <w:rsid w:val="00E561B3"/>
    <w:rsid w:val="00E60E82"/>
    <w:rsid w:val="00E62825"/>
    <w:rsid w:val="00E641DA"/>
    <w:rsid w:val="00E675E8"/>
    <w:rsid w:val="00E767CA"/>
    <w:rsid w:val="00E833B6"/>
    <w:rsid w:val="00EA4468"/>
    <w:rsid w:val="00EC13CE"/>
    <w:rsid w:val="00ED2B9D"/>
    <w:rsid w:val="00ED59B2"/>
    <w:rsid w:val="00ED5D82"/>
    <w:rsid w:val="00EE17C0"/>
    <w:rsid w:val="00EE76E4"/>
    <w:rsid w:val="00EE790F"/>
    <w:rsid w:val="00EF19FE"/>
    <w:rsid w:val="00F5342D"/>
    <w:rsid w:val="00F85DA8"/>
    <w:rsid w:val="00F87245"/>
    <w:rsid w:val="00F966A1"/>
    <w:rsid w:val="00FA3C57"/>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556938883">
      <w:bodyDiv w:val="1"/>
      <w:marLeft w:val="0"/>
      <w:marRight w:val="0"/>
      <w:marTop w:val="0"/>
      <w:marBottom w:val="0"/>
      <w:divBdr>
        <w:top w:val="none" w:sz="0" w:space="0" w:color="auto"/>
        <w:left w:val="none" w:sz="0" w:space="0" w:color="auto"/>
        <w:bottom w:val="none" w:sz="0" w:space="0" w:color="auto"/>
        <w:right w:val="none" w:sz="0" w:space="0" w:color="auto"/>
      </w:divBdr>
    </w:div>
    <w:div w:id="64084162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896155808">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c.dental/europe/e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ercial.spain@gc.den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cdentalcampus.com/en/the-6-th-international-dental-sympos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2.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customXml/itemProps3.xml><?xml version="1.0" encoding="utf-8"?>
<ds:datastoreItem xmlns:ds="http://schemas.openxmlformats.org/officeDocument/2006/customXml" ds:itemID="{F1390AFD-651F-4483-A312-3EECD3390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6821</Characters>
  <Application>Microsoft Office Word</Application>
  <DocSecurity>4</DocSecurity>
  <Lines>56</Lines>
  <Paragraphs>16</Paragraphs>
  <ScaleCrop>false</ScaleCrop>
  <HeadingPairs>
    <vt:vector size="8" baseType="variant">
      <vt:variant>
        <vt:lpstr>Título</vt:lpstr>
      </vt:variant>
      <vt:variant>
        <vt:i4>1</vt:i4>
      </vt:variant>
      <vt:variant>
        <vt:lpstr>Naslov</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2026-05-13T09:36:00Z</dcterms:created>
  <dcterms:modified xsi:type="dcterms:W3CDTF">2026-05-13T09:36:00Z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