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1A9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5106CFB0" w14:textId="317B8F48" w:rsidR="007847F0" w:rsidRDefault="00AE709B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AE709B">
        <w:rPr>
          <w:rFonts w:ascii="Avenir Next LT Pro" w:eastAsia="Verdana" w:hAnsi="Avenir Next LT Pro" w:cs="Verdana"/>
          <w:color w:val="000000" w:themeColor="text1"/>
          <w:u w:val="single"/>
        </w:rPr>
        <w:t>Long-term indirect solutions for severe wear cases</w:t>
      </w:r>
      <w:r w:rsidR="00817794">
        <w:rPr>
          <w:rFonts w:ascii="Avenir Next LT Pro" w:eastAsia="Verdana" w:hAnsi="Avenir Next LT Pro" w:cs="Verdana"/>
          <w:color w:val="000000" w:themeColor="text1"/>
          <w:u w:val="single"/>
        </w:rPr>
        <w:t xml:space="preserve"> from GC</w:t>
      </w:r>
    </w:p>
    <w:p w14:paraId="72414257" w14:textId="77777777" w:rsidR="00817794" w:rsidRPr="00CA4627" w:rsidRDefault="00817794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2EE6D9DB" w14:textId="0DF9F3D4" w:rsidR="007F5940" w:rsidRDefault="000517FE" w:rsidP="000517FE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0517F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‘Wear’ to start</w:t>
      </w:r>
      <w:r w:rsidR="00C0501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when tooth wear is advanced?</w:t>
      </w:r>
    </w:p>
    <w:p w14:paraId="143B1608" w14:textId="77777777" w:rsidR="000517FE" w:rsidRPr="000517FE" w:rsidRDefault="000517FE" w:rsidP="000517FE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</w:p>
    <w:p w14:paraId="4046F740" w14:textId="03A989DF" w:rsidR="008A4C1F" w:rsidRPr="008A4C1F" w:rsidRDefault="008A4C1F" w:rsidP="008A4C1F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A4C1F">
        <w:rPr>
          <w:rFonts w:ascii="Avenir Next LT Pro" w:eastAsia="Verdana" w:hAnsi="Avenir Next LT Pro" w:cs="Verdana"/>
          <w:color w:val="000000" w:themeColor="text1"/>
        </w:rPr>
        <w:t xml:space="preserve">Following the success of its campaign on the direct management of mild to moderate tooth wear, GC is launching a new initiative focused on the treatment of moderate to severe cases, including the role of indirect restorative solutions. Tooth wear </w:t>
      </w:r>
      <w:r w:rsidR="001B35D6">
        <w:rPr>
          <w:rFonts w:ascii="Avenir Next LT Pro" w:eastAsia="Verdana" w:hAnsi="Avenir Next LT Pro" w:cs="Verdana"/>
          <w:color w:val="000000" w:themeColor="text1"/>
        </w:rPr>
        <w:t xml:space="preserve">is an age-related process, which </w:t>
      </w:r>
      <w:r w:rsidRPr="008A4C1F">
        <w:rPr>
          <w:rFonts w:ascii="Avenir Next LT Pro" w:eastAsia="Verdana" w:hAnsi="Avenir Next LT Pro" w:cs="Verdana"/>
          <w:color w:val="000000" w:themeColor="text1"/>
        </w:rPr>
        <w:t>remains an increasing clinical challenge</w:t>
      </w:r>
      <w:r w:rsidR="001B35D6">
        <w:rPr>
          <w:rFonts w:ascii="Avenir Next LT Pro" w:eastAsia="Verdana" w:hAnsi="Avenir Next LT Pro" w:cs="Verdana"/>
          <w:color w:val="000000" w:themeColor="text1"/>
        </w:rPr>
        <w:t>, especially in an ageing population</w:t>
      </w:r>
      <w:r w:rsidRPr="008A4C1F">
        <w:rPr>
          <w:rFonts w:ascii="Avenir Next LT Pro" w:eastAsia="Verdana" w:hAnsi="Avenir Next LT Pro" w:cs="Verdana"/>
          <w:color w:val="000000" w:themeColor="text1"/>
        </w:rPr>
        <w:t>. While early stages can often be effectively managed with minimally invasive direct restorations, more advanced cases typically require a broader, more comprehensive approach. These treatment plans are often structured in multiple phases and may incorporate indirect restorative options to ensure predictable and durable outcomes.</w:t>
      </w:r>
    </w:p>
    <w:p w14:paraId="620C3D86" w14:textId="77777777" w:rsidR="009F7A7F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</w:p>
    <w:p w14:paraId="69BA8721" w14:textId="0E515A92" w:rsidR="008342B2" w:rsidRPr="007157A6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7157A6">
        <w:rPr>
          <w:rFonts w:ascii="Avenir Next LT Pro" w:eastAsia="Verdana" w:hAnsi="Avenir Next LT Pro" w:cs="Verdana"/>
          <w:b/>
          <w:bCs/>
          <w:color w:val="000000" w:themeColor="text1"/>
        </w:rPr>
        <w:t>A continuum of care</w:t>
      </w:r>
    </w:p>
    <w:p w14:paraId="33DEE451" w14:textId="0C77818F" w:rsidR="008342B2" w:rsidRPr="007157A6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7157A6">
        <w:rPr>
          <w:rFonts w:ascii="Avenir Next LT Pro" w:eastAsia="Verdana" w:hAnsi="Avenir Next LT Pro" w:cs="Verdana"/>
          <w:color w:val="000000" w:themeColor="text1"/>
        </w:rPr>
        <w:t xml:space="preserve">There is no strict rule when choosing between direct and indirect treatment. </w:t>
      </w:r>
      <w:r w:rsidR="004C582E">
        <w:rPr>
          <w:rFonts w:ascii="Avenir Next LT Pro" w:eastAsia="Verdana" w:hAnsi="Avenir Next LT Pro" w:cs="Verdana"/>
          <w:color w:val="000000" w:themeColor="text1"/>
        </w:rPr>
        <w:t>Often, the treatment of cases starts</w:t>
      </w:r>
      <w:r w:rsidRPr="007157A6">
        <w:rPr>
          <w:rFonts w:ascii="Avenir Next LT Pro" w:eastAsia="Verdana" w:hAnsi="Avenir Next LT Pro" w:cs="Verdana"/>
          <w:color w:val="000000" w:themeColor="text1"/>
        </w:rPr>
        <w:t xml:space="preserve"> with direct techniques; however, in more complex situations—such as severe or pathological wear—indirect materials may be necessary to restore function, durability, and aesthetics</w:t>
      </w:r>
      <w:r w:rsidR="004C582E">
        <w:rPr>
          <w:rFonts w:ascii="Avenir Next LT Pro" w:eastAsia="Verdana" w:hAnsi="Avenir Next LT Pro" w:cs="Verdana"/>
          <w:color w:val="000000" w:themeColor="text1"/>
        </w:rPr>
        <w:t xml:space="preserve">, especially </w:t>
      </w:r>
      <w:r w:rsidR="00543AEC">
        <w:rPr>
          <w:rFonts w:ascii="Avenir Next LT Pro" w:eastAsia="Verdana" w:hAnsi="Avenir Next LT Pro" w:cs="Verdana"/>
          <w:color w:val="000000" w:themeColor="text1"/>
        </w:rPr>
        <w:t>i</w:t>
      </w:r>
      <w:r w:rsidR="004C582E">
        <w:rPr>
          <w:rFonts w:ascii="Avenir Next LT Pro" w:eastAsia="Verdana" w:hAnsi="Avenir Next LT Pro" w:cs="Verdana"/>
          <w:color w:val="000000" w:themeColor="text1"/>
        </w:rPr>
        <w:t>n the long term</w:t>
      </w:r>
      <w:r w:rsidRPr="007157A6">
        <w:rPr>
          <w:rFonts w:ascii="Avenir Next LT Pro" w:eastAsia="Verdana" w:hAnsi="Avenir Next LT Pro" w:cs="Verdana"/>
          <w:color w:val="000000" w:themeColor="text1"/>
        </w:rPr>
        <w:t>.</w:t>
      </w:r>
    </w:p>
    <w:p w14:paraId="08E9BD6A" w14:textId="4946DB1B" w:rsidR="008342B2" w:rsidRPr="007157A6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7157A6">
        <w:rPr>
          <w:rFonts w:ascii="Avenir Next LT Pro" w:eastAsia="Verdana" w:hAnsi="Avenir Next LT Pro" w:cs="Verdana"/>
          <w:color w:val="000000" w:themeColor="text1"/>
        </w:rPr>
        <w:t xml:space="preserve">This campaign </w:t>
      </w:r>
      <w:proofErr w:type="spellStart"/>
      <w:r w:rsidRPr="007157A6">
        <w:rPr>
          <w:rFonts w:ascii="Avenir Next LT Pro" w:eastAsia="Verdana" w:hAnsi="Avenir Next LT Pro" w:cs="Verdana"/>
          <w:color w:val="000000" w:themeColor="text1"/>
        </w:rPr>
        <w:t>emphasi</w:t>
      </w:r>
      <w:r w:rsidR="00543AEC">
        <w:rPr>
          <w:rFonts w:ascii="Avenir Next LT Pro" w:eastAsia="Verdana" w:hAnsi="Avenir Next LT Pro" w:cs="Verdana"/>
          <w:color w:val="000000" w:themeColor="text1"/>
        </w:rPr>
        <w:t>s</w:t>
      </w:r>
      <w:r w:rsidRPr="007157A6">
        <w:rPr>
          <w:rFonts w:ascii="Avenir Next LT Pro" w:eastAsia="Verdana" w:hAnsi="Avenir Next LT Pro" w:cs="Verdana"/>
          <w:color w:val="000000" w:themeColor="text1"/>
        </w:rPr>
        <w:t>es</w:t>
      </w:r>
      <w:proofErr w:type="spellEnd"/>
      <w:r w:rsidRPr="007157A6">
        <w:rPr>
          <w:rFonts w:ascii="Avenir Next LT Pro" w:eastAsia="Verdana" w:hAnsi="Avenir Next LT Pro" w:cs="Verdana"/>
          <w:color w:val="000000" w:themeColor="text1"/>
        </w:rPr>
        <w:t xml:space="preserve"> a continuum of care, combining diagnosis, digital planning, and both direct and indirect restorative strategies to meet individual patient needs.</w:t>
      </w:r>
    </w:p>
    <w:p w14:paraId="625C69BD" w14:textId="77777777" w:rsidR="009F7A7F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</w:p>
    <w:p w14:paraId="6F486C31" w14:textId="2C6B6F4D" w:rsidR="008342B2" w:rsidRPr="008342B2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8342B2">
        <w:rPr>
          <w:rFonts w:ascii="Avenir Next LT Pro" w:eastAsia="Verdana" w:hAnsi="Avenir Next LT Pro" w:cs="Verdana"/>
          <w:b/>
          <w:bCs/>
          <w:color w:val="000000" w:themeColor="text1"/>
        </w:rPr>
        <w:t>Supporting clinical decision-making</w:t>
      </w:r>
    </w:p>
    <w:p w14:paraId="486B926E" w14:textId="77777777" w:rsidR="008342B2" w:rsidRPr="00FD15CA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FD15CA">
        <w:rPr>
          <w:rFonts w:ascii="Avenir Next LT Pro" w:eastAsia="Verdana" w:hAnsi="Avenir Next LT Pro" w:cs="Verdana"/>
          <w:color w:val="000000" w:themeColor="text1"/>
        </w:rPr>
        <w:lastRenderedPageBreak/>
        <w:t>Through educational content and clinical cases, the campaign aims to help clinicians confidently transition between direct and indirect approaches while maintaining a minimally invasive philosophy.</w:t>
      </w:r>
    </w:p>
    <w:p w14:paraId="3D00DC5F" w14:textId="4CF1B32C" w:rsidR="0045674B" w:rsidRDefault="0045674B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45674B">
        <w:rPr>
          <w:rFonts w:ascii="Avenir Next LT Pro" w:eastAsia="Verdana" w:hAnsi="Avenir Next LT Pro" w:cs="Verdana"/>
          <w:color w:val="000000" w:themeColor="text1"/>
        </w:rPr>
        <w:t>“</w:t>
      </w:r>
      <w:r w:rsidR="00996681">
        <w:rPr>
          <w:rFonts w:ascii="Avenir Next LT Pro" w:eastAsia="Verdana" w:hAnsi="Avenir Next LT Pro" w:cs="Verdana"/>
          <w:color w:val="000000" w:themeColor="text1"/>
        </w:rPr>
        <w:t>Treatment choices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996681">
        <w:rPr>
          <w:rFonts w:ascii="Avenir Next LT Pro" w:eastAsia="Verdana" w:hAnsi="Avenir Next LT Pro" w:cs="Verdana"/>
          <w:color w:val="000000" w:themeColor="text1"/>
        </w:rPr>
        <w:t>are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 not about </w:t>
      </w:r>
      <w:r w:rsidR="00996681">
        <w:rPr>
          <w:rFonts w:ascii="Avenir Next LT Pro" w:eastAsia="Verdana" w:hAnsi="Avenir Next LT Pro" w:cs="Verdana"/>
          <w:color w:val="000000" w:themeColor="text1"/>
        </w:rPr>
        <w:t xml:space="preserve">the superiority of 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one technique </w:t>
      </w:r>
      <w:r w:rsidR="003B1404">
        <w:rPr>
          <w:rFonts w:ascii="Avenir Next LT Pro" w:eastAsia="Verdana" w:hAnsi="Avenir Next LT Pro" w:cs="Verdana"/>
          <w:color w:val="000000" w:themeColor="text1"/>
        </w:rPr>
        <w:t xml:space="preserve">or material 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over another,” says </w:t>
      </w:r>
      <w:r w:rsidR="00276CD5">
        <w:rPr>
          <w:rFonts w:ascii="Avenir Next LT Pro" w:eastAsia="Verdana" w:hAnsi="Avenir Next LT Pro" w:cs="Verdana"/>
          <w:color w:val="000000" w:themeColor="text1"/>
        </w:rPr>
        <w:t xml:space="preserve">Adriano Teixeira, </w:t>
      </w:r>
      <w:r w:rsidR="007821B3">
        <w:rPr>
          <w:rFonts w:ascii="Avenir Next LT Pro" w:eastAsia="Verdana" w:hAnsi="Avenir Next LT Pro" w:cs="Verdana"/>
          <w:color w:val="000000" w:themeColor="text1"/>
        </w:rPr>
        <w:t xml:space="preserve">technical </w:t>
      </w:r>
      <w:r w:rsidR="00125EB9">
        <w:rPr>
          <w:rFonts w:ascii="Avenir Next LT Pro" w:eastAsia="Verdana" w:hAnsi="Avenir Next LT Pro" w:cs="Verdana"/>
          <w:color w:val="000000" w:themeColor="text1"/>
        </w:rPr>
        <w:t>training manager at GC’s educational campus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. “It’s about understanding </w:t>
      </w:r>
      <w:r w:rsidR="003B1404">
        <w:rPr>
          <w:rFonts w:ascii="Avenir Next LT Pro" w:eastAsia="Verdana" w:hAnsi="Avenir Next LT Pro" w:cs="Verdana"/>
          <w:color w:val="000000" w:themeColor="text1"/>
        </w:rPr>
        <w:t xml:space="preserve">the </w:t>
      </w:r>
      <w:r w:rsidR="007157A6">
        <w:rPr>
          <w:rFonts w:ascii="Avenir Next LT Pro" w:eastAsia="Verdana" w:hAnsi="Avenir Next LT Pro" w:cs="Verdana"/>
          <w:color w:val="000000" w:themeColor="text1"/>
        </w:rPr>
        <w:t>core of the</w:t>
      </w:r>
      <w:r w:rsidR="003B1404">
        <w:rPr>
          <w:rFonts w:ascii="Avenir Next LT Pro" w:eastAsia="Verdana" w:hAnsi="Avenir Next LT Pro" w:cs="Verdana"/>
          <w:color w:val="000000" w:themeColor="text1"/>
        </w:rPr>
        <w:t xml:space="preserve"> problem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 and selecting the right </w:t>
      </w:r>
      <w:r w:rsidR="00D55083">
        <w:rPr>
          <w:rFonts w:ascii="Avenir Next LT Pro" w:eastAsia="Verdana" w:hAnsi="Avenir Next LT Pro" w:cs="Verdana"/>
          <w:color w:val="000000" w:themeColor="text1"/>
        </w:rPr>
        <w:t xml:space="preserve">material and </w:t>
      </w:r>
      <w:r w:rsidRPr="0045674B">
        <w:rPr>
          <w:rFonts w:ascii="Avenir Next LT Pro" w:eastAsia="Verdana" w:hAnsi="Avenir Next LT Pro" w:cs="Verdana"/>
          <w:color w:val="000000" w:themeColor="text1"/>
        </w:rPr>
        <w:t>intervention</w:t>
      </w:r>
      <w:r w:rsidR="007821B3">
        <w:rPr>
          <w:rFonts w:ascii="Avenir Next LT Pro" w:eastAsia="Verdana" w:hAnsi="Avenir Next LT Pro" w:cs="Verdana"/>
          <w:color w:val="000000" w:themeColor="text1"/>
        </w:rPr>
        <w:t xml:space="preserve"> for th</w:t>
      </w:r>
      <w:r w:rsidR="00FD15CA">
        <w:rPr>
          <w:rFonts w:ascii="Avenir Next LT Pro" w:eastAsia="Verdana" w:hAnsi="Avenir Next LT Pro" w:cs="Verdana"/>
          <w:color w:val="000000" w:themeColor="text1"/>
        </w:rPr>
        <w:t>e right purpose</w:t>
      </w:r>
      <w:r w:rsidRPr="0045674B">
        <w:rPr>
          <w:rFonts w:ascii="Avenir Next LT Pro" w:eastAsia="Verdana" w:hAnsi="Avenir Next LT Pro" w:cs="Verdana"/>
          <w:color w:val="000000" w:themeColor="text1"/>
        </w:rPr>
        <w:t xml:space="preserve"> at the right time—always with the preservation of tooth structure as the guiding principle.”</w:t>
      </w:r>
    </w:p>
    <w:p w14:paraId="1DA670B1" w14:textId="77777777" w:rsidR="002A3D1C" w:rsidRPr="0045674B" w:rsidRDefault="002A3D1C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5130CEA" w14:textId="77777777" w:rsidR="0045674B" w:rsidRPr="0045674B" w:rsidRDefault="0045674B" w:rsidP="0045674B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45674B">
        <w:rPr>
          <w:rFonts w:ascii="Avenir Next LT Pro" w:eastAsia="Verdana" w:hAnsi="Avenir Next LT Pro" w:cs="Verdana"/>
          <w:b/>
          <w:bCs/>
          <w:color w:val="000000" w:themeColor="text1"/>
        </w:rPr>
        <w:t>About the campaign</w:t>
      </w:r>
    </w:p>
    <w:p w14:paraId="26E35622" w14:textId="77777777" w:rsidR="0045674B" w:rsidRPr="0045674B" w:rsidRDefault="0045674B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45674B">
        <w:rPr>
          <w:rFonts w:ascii="Avenir Next LT Pro" w:eastAsia="Verdana" w:hAnsi="Avenir Next LT Pro" w:cs="Verdana"/>
          <w:color w:val="000000" w:themeColor="text1"/>
        </w:rPr>
        <w:t>The campaign will be launched across multiple platforms, including professional publications, digital channels, clinical education, and hands-on learning opportunities. It reflects GC’s ongoing commitment to supporting dental professionals in delivering predictable, patient-centered outcomes across all stages of tooth wear.</w:t>
      </w:r>
    </w:p>
    <w:p w14:paraId="1FB33EC8" w14:textId="77777777" w:rsidR="008D24A9" w:rsidRPr="008D24A9" w:rsidRDefault="00982440" w:rsidP="008D24A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982440">
        <w:rPr>
          <w:rFonts w:ascii="Avenir Next LT Pro" w:eastAsia="Verdana" w:hAnsi="Avenir Next LT Pro" w:cs="Verdana"/>
          <w:color w:val="000000" w:themeColor="text1"/>
        </w:rPr>
        <w:t>For more information</w:t>
      </w:r>
      <w:r w:rsidR="00D836FC">
        <w:rPr>
          <w:rFonts w:ascii="Avenir Next LT Pro" w:eastAsia="Verdana" w:hAnsi="Avenir Next LT Pro" w:cs="Verdana"/>
          <w:color w:val="000000" w:themeColor="text1"/>
        </w:rPr>
        <w:t>:</w:t>
      </w:r>
      <w:r w:rsidR="008D24A9">
        <w:rPr>
          <w:rFonts w:ascii="Avenir Next LT Pro" w:eastAsia="Verdana" w:hAnsi="Avenir Next LT Pro" w:cs="Verdana"/>
          <w:color w:val="000000" w:themeColor="text1"/>
        </w:rPr>
        <w:t xml:space="preserve"> </w:t>
      </w:r>
      <w:hyperlink r:id="rId10" w:history="1">
        <w:r w:rsidR="008D24A9" w:rsidRPr="008D24A9">
          <w:rPr>
            <w:rStyle w:val="Hyperlink"/>
            <w:rFonts w:ascii="Avenir Next LT Pro" w:eastAsia="Verdana" w:hAnsi="Avenir Next LT Pro" w:cs="Verdana"/>
          </w:rPr>
          <w:t>https://campaigns-gceurope.com/wear-solutions</w:t>
        </w:r>
      </w:hyperlink>
    </w:p>
    <w:p w14:paraId="180646A0" w14:textId="4B4BED89" w:rsidR="00F303A3" w:rsidRPr="00C436B7" w:rsidRDefault="00D836FC" w:rsidP="008D24A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1" w:history="1">
        <w:r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26625CAF" w:rsidR="00A5023C" w:rsidRDefault="008347C9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8347C9">
        <w:rPr>
          <w:rStyle w:val="Hyperlink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268A7334" wp14:editId="2C152864">
            <wp:extent cx="4581525" cy="2813685"/>
            <wp:effectExtent l="0" t="0" r="9525" b="5715"/>
            <wp:docPr id="167360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05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1B87A597" w:rsidR="00A2121B" w:rsidRPr="00A2121B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</w:pPr>
      <w:r w:rsidRPr="00A2121B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 xml:space="preserve">Campaign image. </w:t>
      </w:r>
      <w:r w:rsidR="009046DE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>Complex wear cases require a stepwise approach, tailored to individual needs</w:t>
      </w:r>
      <w:r w:rsidRPr="00A2121B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>.</w:t>
      </w:r>
    </w:p>
    <w:sectPr w:rsidR="00A2121B" w:rsidRPr="00A2121B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828C8" w14:textId="77777777" w:rsidR="00166901" w:rsidRDefault="00166901">
      <w:r>
        <w:separator/>
      </w:r>
    </w:p>
  </w:endnote>
  <w:endnote w:type="continuationSeparator" w:id="0">
    <w:p w14:paraId="7D4174E0" w14:textId="77777777" w:rsidR="00166901" w:rsidRDefault="00166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BECC3" w14:textId="77777777" w:rsidR="00166901" w:rsidRDefault="00166901">
      <w:r>
        <w:separator/>
      </w:r>
    </w:p>
  </w:footnote>
  <w:footnote w:type="continuationSeparator" w:id="0">
    <w:p w14:paraId="460E014B" w14:textId="77777777" w:rsidR="00166901" w:rsidRDefault="00166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164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17FE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25EB9"/>
    <w:rsid w:val="0014534A"/>
    <w:rsid w:val="0016511A"/>
    <w:rsid w:val="00166901"/>
    <w:rsid w:val="00167D45"/>
    <w:rsid w:val="00176AEF"/>
    <w:rsid w:val="001B0EA6"/>
    <w:rsid w:val="001B35D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76CD5"/>
    <w:rsid w:val="00281E40"/>
    <w:rsid w:val="00283337"/>
    <w:rsid w:val="00291EEA"/>
    <w:rsid w:val="002974A2"/>
    <w:rsid w:val="002A1F4F"/>
    <w:rsid w:val="002A3D1C"/>
    <w:rsid w:val="002A4426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04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3F28BA"/>
    <w:rsid w:val="00412841"/>
    <w:rsid w:val="00426EDA"/>
    <w:rsid w:val="0043690C"/>
    <w:rsid w:val="00436D5D"/>
    <w:rsid w:val="004413E2"/>
    <w:rsid w:val="00444A98"/>
    <w:rsid w:val="00453816"/>
    <w:rsid w:val="0045674B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B6241"/>
    <w:rsid w:val="004C3D5F"/>
    <w:rsid w:val="004C48D0"/>
    <w:rsid w:val="004C582E"/>
    <w:rsid w:val="004D0FBF"/>
    <w:rsid w:val="004D3B6C"/>
    <w:rsid w:val="004D6F35"/>
    <w:rsid w:val="004E2FB3"/>
    <w:rsid w:val="00502C6F"/>
    <w:rsid w:val="00505D67"/>
    <w:rsid w:val="0052480D"/>
    <w:rsid w:val="00533A3B"/>
    <w:rsid w:val="00543AEC"/>
    <w:rsid w:val="00552443"/>
    <w:rsid w:val="00553334"/>
    <w:rsid w:val="00567F3E"/>
    <w:rsid w:val="00572892"/>
    <w:rsid w:val="0058288B"/>
    <w:rsid w:val="00587CDE"/>
    <w:rsid w:val="00591E21"/>
    <w:rsid w:val="005C5EED"/>
    <w:rsid w:val="005D1861"/>
    <w:rsid w:val="005D562A"/>
    <w:rsid w:val="005D7797"/>
    <w:rsid w:val="005E7894"/>
    <w:rsid w:val="005F1CDD"/>
    <w:rsid w:val="00610AAC"/>
    <w:rsid w:val="006118F5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157A6"/>
    <w:rsid w:val="0072441C"/>
    <w:rsid w:val="00737C03"/>
    <w:rsid w:val="007437AC"/>
    <w:rsid w:val="00775ABD"/>
    <w:rsid w:val="00776B7A"/>
    <w:rsid w:val="00776E54"/>
    <w:rsid w:val="007821B3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17794"/>
    <w:rsid w:val="00821D97"/>
    <w:rsid w:val="008342B2"/>
    <w:rsid w:val="008347C9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4C1F"/>
    <w:rsid w:val="008A56E8"/>
    <w:rsid w:val="008A629E"/>
    <w:rsid w:val="008A7D3D"/>
    <w:rsid w:val="008B31D4"/>
    <w:rsid w:val="008D24A9"/>
    <w:rsid w:val="008D3594"/>
    <w:rsid w:val="008D73C8"/>
    <w:rsid w:val="008E1A49"/>
    <w:rsid w:val="008F7868"/>
    <w:rsid w:val="009046DE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6681"/>
    <w:rsid w:val="00997CA1"/>
    <w:rsid w:val="009B454D"/>
    <w:rsid w:val="009C1D99"/>
    <w:rsid w:val="009D4A1F"/>
    <w:rsid w:val="009E52BD"/>
    <w:rsid w:val="009F7A7F"/>
    <w:rsid w:val="00A03D4B"/>
    <w:rsid w:val="00A2121B"/>
    <w:rsid w:val="00A304BF"/>
    <w:rsid w:val="00A310AE"/>
    <w:rsid w:val="00A4263C"/>
    <w:rsid w:val="00A46F12"/>
    <w:rsid w:val="00A5023C"/>
    <w:rsid w:val="00A61502"/>
    <w:rsid w:val="00A65A6F"/>
    <w:rsid w:val="00A67AE7"/>
    <w:rsid w:val="00A7156F"/>
    <w:rsid w:val="00A7746D"/>
    <w:rsid w:val="00A80F69"/>
    <w:rsid w:val="00A844B5"/>
    <w:rsid w:val="00AC77C3"/>
    <w:rsid w:val="00AE06AA"/>
    <w:rsid w:val="00AE709B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05012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C6660"/>
    <w:rsid w:val="00CD0F90"/>
    <w:rsid w:val="00D01FED"/>
    <w:rsid w:val="00D055EB"/>
    <w:rsid w:val="00D16301"/>
    <w:rsid w:val="00D21359"/>
    <w:rsid w:val="00D33936"/>
    <w:rsid w:val="00D53FA7"/>
    <w:rsid w:val="00D55083"/>
    <w:rsid w:val="00D64144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0DDF"/>
    <w:rsid w:val="00E97DFF"/>
    <w:rsid w:val="00EA4468"/>
    <w:rsid w:val="00EA4C38"/>
    <w:rsid w:val="00ED2B9D"/>
    <w:rsid w:val="00ED59B2"/>
    <w:rsid w:val="00ED6B4F"/>
    <w:rsid w:val="00EE790F"/>
    <w:rsid w:val="00F23933"/>
    <w:rsid w:val="00F303A3"/>
    <w:rsid w:val="00F5342D"/>
    <w:rsid w:val="00F966A1"/>
    <w:rsid w:val="00FB5078"/>
    <w:rsid w:val="00FD15CA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ampaigns-gceurope.com/wear-solu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093A7-C45F-423E-BA5C-72293E9F4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Vanden Ecker, Sara</cp:lastModifiedBy>
  <cp:revision>2</cp:revision>
  <cp:lastPrinted>2020-01-21T15:04:00Z</cp:lastPrinted>
  <dcterms:created xsi:type="dcterms:W3CDTF">2026-07-03T14:13:00Z</dcterms:created>
  <dcterms:modified xsi:type="dcterms:W3CDTF">2026-07-03T14:13:00Z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