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E18CF19" w14:textId="7B0425DC" w:rsidR="004C48D0" w:rsidRPr="00631D36" w:rsidRDefault="004E2FB3" w:rsidP="004E2FB3">
      <w:pPr>
        <w:spacing w:line="360" w:lineRule="auto"/>
        <w:ind w:left="-990" w:right="-868"/>
        <w:rPr>
          <w:rFonts w:ascii="Avenir Next LT Pro" w:eastAsia="Verdana" w:hAnsi="Avenir Next LT Pro" w:cs="Verdana"/>
          <w:b/>
          <w:bCs/>
          <w:color w:val="000000" w:themeColor="text1"/>
          <w:sz w:val="30"/>
          <w:szCs w:val="30"/>
          <w:lang w:val="en-GB"/>
        </w:rPr>
      </w:pPr>
      <w:r w:rsidRPr="00631D36">
        <w:rPr>
          <w:rFonts w:ascii="Avenir Next LT Pro" w:hAnsi="Avenir Next LT Pro"/>
          <w:b/>
          <w:bCs/>
          <w:noProof/>
          <w:color w:val="000000" w:themeColor="text1"/>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61A98"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fillcolor="#009b77" stroked="f" strokeweight="2pt">
                <v:stroke joinstyle="round"/>
                <v:textbox inset="1.2699mm,1.2699mm,1.2699mm,1.2699mm"/>
                <w10:wrap anchorx="page"/>
              </v:rect>
            </w:pict>
          </mc:Fallback>
        </mc:AlternateContent>
      </w:r>
      <w:r w:rsidR="00A304BF" w:rsidRPr="00631D36">
        <w:rPr>
          <w:rFonts w:ascii="Avenir Next LT Pro" w:hAnsi="Avenir Next LT Pro"/>
          <w:b/>
          <w:bCs/>
          <w:color w:val="000000" w:themeColor="text1"/>
          <w:sz w:val="30"/>
          <w:szCs w:val="30"/>
          <w:lang w:val="en-GB"/>
        </w:rPr>
        <w:t>Press release</w:t>
      </w:r>
    </w:p>
    <w:p w14:paraId="7D0FC3DF" w14:textId="77777777" w:rsidR="00BE05FE" w:rsidRDefault="00BE05FE" w:rsidP="008D24A9">
      <w:pPr>
        <w:spacing w:line="360" w:lineRule="auto"/>
        <w:ind w:left="-990" w:right="-868"/>
      </w:pPr>
    </w:p>
    <w:p w14:paraId="531572C8" w14:textId="77777777" w:rsidR="00BE05FE" w:rsidRPr="00BE05FE" w:rsidRDefault="00BE05FE" w:rsidP="00BE05FE">
      <w:pPr>
        <w:spacing w:line="360" w:lineRule="auto"/>
        <w:ind w:left="-990" w:right="-868"/>
        <w:rPr>
          <w:rFonts w:ascii="Avenir Next LT Pro" w:eastAsia="Verdana" w:hAnsi="Avenir Next LT Pro" w:cs="Verdana"/>
          <w:color w:val="000000" w:themeColor="text1"/>
          <w:u w:val="single"/>
          <w:lang w:val="es-ES_tradnl"/>
        </w:rPr>
      </w:pPr>
      <w:r w:rsidRPr="00BE05FE">
        <w:rPr>
          <w:rFonts w:ascii="Avenir Next LT Pro" w:eastAsia="Verdana" w:hAnsi="Avenir Next LT Pro" w:cs="Verdana"/>
          <w:color w:val="000000" w:themeColor="text1"/>
          <w:u w:val="single"/>
          <w:lang w:val="es-ES_tradnl"/>
        </w:rPr>
        <w:t>Soluciones indirectas de larga duración para casos de desgaste dental severo de GC</w:t>
      </w:r>
    </w:p>
    <w:p w14:paraId="78E139F2" w14:textId="77777777" w:rsidR="00BE05FE" w:rsidRPr="00BE05FE" w:rsidRDefault="00BE05FE" w:rsidP="00BE05FE">
      <w:pPr>
        <w:spacing w:line="360" w:lineRule="auto"/>
        <w:ind w:left="-990" w:right="-868"/>
        <w:rPr>
          <w:rFonts w:ascii="Avenir Next LT Pro" w:eastAsia="Verdana" w:hAnsi="Avenir Next LT Pro" w:cs="Verdana"/>
          <w:b/>
          <w:bCs/>
          <w:color w:val="000000" w:themeColor="text1"/>
          <w:sz w:val="30"/>
          <w:szCs w:val="30"/>
          <w:lang w:val="es-ES_tradnl"/>
        </w:rPr>
      </w:pPr>
      <w:r w:rsidRPr="00BE05FE">
        <w:rPr>
          <w:rFonts w:ascii="Avenir Next LT Pro" w:eastAsia="Verdana" w:hAnsi="Avenir Next LT Pro" w:cs="Verdana"/>
          <w:b/>
          <w:bCs/>
          <w:color w:val="000000" w:themeColor="text1"/>
          <w:sz w:val="30"/>
          <w:szCs w:val="30"/>
          <w:lang w:val="es-ES_tradnl"/>
        </w:rPr>
        <w:t>¿Cuándo es el momento de empezar a preocuparse por el desgaste dental avanzado?</w:t>
      </w:r>
    </w:p>
    <w:p w14:paraId="7378EA34" w14:textId="77777777" w:rsidR="00BE05FE" w:rsidRPr="00BE05FE" w:rsidRDefault="00BE05FE" w:rsidP="00BE05FE">
      <w:pPr>
        <w:spacing w:line="360" w:lineRule="auto"/>
        <w:ind w:left="-990" w:right="-868"/>
        <w:rPr>
          <w:rFonts w:ascii="Avenir Next LT Pro" w:eastAsia="Verdana" w:hAnsi="Avenir Next LT Pro" w:cs="Verdana"/>
          <w:color w:val="000000" w:themeColor="text1"/>
          <w:lang w:val="es-ES_tradnl"/>
        </w:rPr>
      </w:pPr>
      <w:r w:rsidRPr="00BE05FE">
        <w:rPr>
          <w:rFonts w:ascii="Avenir Next LT Pro" w:eastAsia="Verdana" w:hAnsi="Avenir Next LT Pro" w:cs="Verdana"/>
          <w:color w:val="000000" w:themeColor="text1"/>
          <w:lang w:val="es-ES_tradnl"/>
        </w:rPr>
        <w:t>Tras el éxito de su campaña sobre el tratamiento directo del desgaste dental leve y moderado, GC lanza una nueva iniciativa centrada en el abordaje de los casos de desgaste moderado a severo, destacando el papel de las soluciones restauradoras indirectas.</w:t>
      </w:r>
    </w:p>
    <w:p w14:paraId="00BDBF4F" w14:textId="77777777" w:rsidR="00BE05FE" w:rsidRPr="00BE05FE" w:rsidRDefault="00BE05FE" w:rsidP="00BE05FE">
      <w:pPr>
        <w:spacing w:line="360" w:lineRule="auto"/>
        <w:ind w:left="-990" w:right="-868"/>
        <w:rPr>
          <w:rFonts w:ascii="Avenir Next LT Pro" w:eastAsia="Verdana" w:hAnsi="Avenir Next LT Pro" w:cs="Verdana"/>
          <w:color w:val="000000" w:themeColor="text1"/>
          <w:lang w:val="es-ES_tradnl"/>
        </w:rPr>
      </w:pPr>
      <w:r w:rsidRPr="00BE05FE">
        <w:rPr>
          <w:rFonts w:ascii="Avenir Next LT Pro" w:eastAsia="Verdana" w:hAnsi="Avenir Next LT Pro" w:cs="Verdana"/>
          <w:color w:val="000000" w:themeColor="text1"/>
          <w:lang w:val="es-ES_tradnl"/>
        </w:rPr>
        <w:t>El desgaste dental es un proceso asociado al envejecimiento que representa un desafío clínico cada vez mayor, especialmente en una población de edad avanzada. Mientras que las fases iniciales pueden tratarse eficazmente mediante restauraciones directas mínimamente invasivas, los casos más avanzados suelen requerir un enfoque más amplio e integral. Estos planes de tratamiento suelen estructurarse en varias fases y pueden incorporar restauraciones indirectas para garantizar resultados predecibles y duraderos.</w:t>
      </w:r>
    </w:p>
    <w:p w14:paraId="258091C9" w14:textId="77777777" w:rsidR="00BE05FE" w:rsidRPr="00BE05FE" w:rsidRDefault="00BE05FE" w:rsidP="00BE05FE">
      <w:pPr>
        <w:spacing w:line="360" w:lineRule="auto"/>
        <w:ind w:left="-990" w:right="-868"/>
        <w:rPr>
          <w:rFonts w:ascii="Avenir Next LT Pro" w:eastAsia="Verdana" w:hAnsi="Avenir Next LT Pro" w:cs="Verdana"/>
          <w:b/>
          <w:bCs/>
          <w:color w:val="000000" w:themeColor="text1"/>
          <w:lang w:val="es-ES_tradnl"/>
        </w:rPr>
      </w:pPr>
      <w:r w:rsidRPr="00BE05FE">
        <w:rPr>
          <w:rFonts w:ascii="Avenir Next LT Pro" w:eastAsia="Verdana" w:hAnsi="Avenir Next LT Pro" w:cs="Verdana"/>
          <w:b/>
          <w:bCs/>
          <w:color w:val="000000" w:themeColor="text1"/>
          <w:lang w:val="es-ES_tradnl"/>
        </w:rPr>
        <w:t>Un abordaje continuo del tratamiento</w:t>
      </w:r>
    </w:p>
    <w:p w14:paraId="459410B5" w14:textId="4217C8D6" w:rsidR="00BE05FE" w:rsidRPr="00BE05FE" w:rsidRDefault="00BE05FE" w:rsidP="00BE05FE">
      <w:pPr>
        <w:spacing w:line="360" w:lineRule="auto"/>
        <w:ind w:left="-990" w:right="-868"/>
        <w:rPr>
          <w:rFonts w:ascii="Avenir Next LT Pro" w:eastAsia="Verdana" w:hAnsi="Avenir Next LT Pro" w:cs="Verdana"/>
          <w:color w:val="000000" w:themeColor="text1"/>
          <w:lang w:val="es-ES_tradnl"/>
        </w:rPr>
      </w:pPr>
      <w:r w:rsidRPr="00BE05FE">
        <w:rPr>
          <w:rFonts w:ascii="Avenir Next LT Pro" w:eastAsia="Verdana" w:hAnsi="Avenir Next LT Pro" w:cs="Verdana"/>
          <w:color w:val="000000" w:themeColor="text1"/>
          <w:lang w:val="es-ES_tradnl"/>
        </w:rPr>
        <w:t>No existe una regla estricta para decidir entre un tratamiento directo o indirecto. En muchos casos, el tratamiento comienza con técnicas directas; sin embargo, en situaciones más complejas —como el desgaste severo o patológico— los materiales indirectos pueden ser necesarios para restaurar la función, la durabilidad y la estética, especialmente a largo plazo.</w:t>
      </w:r>
    </w:p>
    <w:p w14:paraId="5C51CD27" w14:textId="3541694A" w:rsidR="00BE05FE" w:rsidRPr="00BE05FE" w:rsidRDefault="00BE05FE" w:rsidP="00BE05FE">
      <w:pPr>
        <w:spacing w:line="360" w:lineRule="auto"/>
        <w:ind w:left="-990" w:right="-868"/>
        <w:rPr>
          <w:rFonts w:ascii="Avenir Next LT Pro" w:eastAsia="Verdana" w:hAnsi="Avenir Next LT Pro" w:cs="Verdana"/>
          <w:color w:val="000000" w:themeColor="text1"/>
          <w:lang w:val="es-ES_tradnl"/>
        </w:rPr>
      </w:pPr>
      <w:r w:rsidRPr="00BE05FE">
        <w:rPr>
          <w:rFonts w:ascii="Avenir Next LT Pro" w:eastAsia="Verdana" w:hAnsi="Avenir Next LT Pro" w:cs="Verdana"/>
          <w:color w:val="000000" w:themeColor="text1"/>
          <w:lang w:val="es-ES_tradnl"/>
        </w:rPr>
        <w:t xml:space="preserve">Esta campaña pone el foco en un </w:t>
      </w:r>
      <w:r w:rsidRPr="00BE05FE">
        <w:rPr>
          <w:rFonts w:ascii="Avenir Next LT Pro" w:eastAsia="Verdana" w:hAnsi="Avenir Next LT Pro" w:cs="Verdana"/>
          <w:b/>
          <w:bCs/>
          <w:color w:val="000000" w:themeColor="text1"/>
          <w:lang w:val="es-ES_tradnl"/>
        </w:rPr>
        <w:t>abordaje continuo del tratamiento</w:t>
      </w:r>
      <w:r w:rsidRPr="00BE05FE">
        <w:rPr>
          <w:rFonts w:ascii="Avenir Next LT Pro" w:eastAsia="Verdana" w:hAnsi="Avenir Next LT Pro" w:cs="Verdana"/>
          <w:color w:val="000000" w:themeColor="text1"/>
          <w:lang w:val="es-ES_tradnl"/>
        </w:rPr>
        <w:t>, que combina el diagnóstico, la planificación digital y las estrategias restauradoras tanto directas como indirectas para responder a las necesidades específicas de cada paciente.</w:t>
      </w:r>
    </w:p>
    <w:p w14:paraId="493827C9" w14:textId="77777777" w:rsidR="00BE05FE" w:rsidRPr="00BE05FE" w:rsidRDefault="00BE05FE" w:rsidP="00BE05FE">
      <w:pPr>
        <w:spacing w:line="360" w:lineRule="auto"/>
        <w:ind w:left="-990" w:right="-868"/>
        <w:rPr>
          <w:rFonts w:ascii="Avenir Next LT Pro" w:eastAsia="Verdana" w:hAnsi="Avenir Next LT Pro" w:cs="Verdana"/>
          <w:b/>
          <w:bCs/>
          <w:color w:val="000000" w:themeColor="text1"/>
          <w:lang w:val="es-ES_tradnl"/>
        </w:rPr>
      </w:pPr>
      <w:r w:rsidRPr="00BE05FE">
        <w:rPr>
          <w:rFonts w:ascii="Avenir Next LT Pro" w:eastAsia="Verdana" w:hAnsi="Avenir Next LT Pro" w:cs="Verdana"/>
          <w:b/>
          <w:bCs/>
          <w:color w:val="000000" w:themeColor="text1"/>
          <w:lang w:val="es-ES_tradnl"/>
        </w:rPr>
        <w:lastRenderedPageBreak/>
        <w:t>Apoyo a la toma de decisiones clínicas</w:t>
      </w:r>
    </w:p>
    <w:p w14:paraId="0A5B22F7" w14:textId="77777777" w:rsidR="00BE05FE" w:rsidRPr="00BE05FE" w:rsidRDefault="00BE05FE" w:rsidP="00BE05FE">
      <w:pPr>
        <w:spacing w:line="360" w:lineRule="auto"/>
        <w:ind w:left="-990" w:right="-868"/>
        <w:rPr>
          <w:rFonts w:ascii="Avenir Next LT Pro" w:eastAsia="Verdana" w:hAnsi="Avenir Next LT Pro" w:cs="Verdana"/>
          <w:color w:val="000000" w:themeColor="text1"/>
          <w:lang w:val="es-ES_tradnl"/>
        </w:rPr>
      </w:pPr>
      <w:r w:rsidRPr="00BE05FE">
        <w:rPr>
          <w:rFonts w:ascii="Avenir Next LT Pro" w:eastAsia="Verdana" w:hAnsi="Avenir Next LT Pro" w:cs="Verdana"/>
          <w:color w:val="000000" w:themeColor="text1"/>
          <w:lang w:val="es-ES_tradnl"/>
        </w:rPr>
        <w:t>A través de contenidos formativos y casos clínicos, la campaña pretende ayudar a los profesionales a realizar con confianza la transición entre los enfoques directos e indirectos, manteniendo siempre una filosofía mínimamente invasiva.</w:t>
      </w:r>
    </w:p>
    <w:p w14:paraId="65590225" w14:textId="782C1418" w:rsidR="00BE05FE" w:rsidRPr="00BE05FE" w:rsidRDefault="00BE05FE" w:rsidP="00BE05FE">
      <w:pPr>
        <w:spacing w:line="360" w:lineRule="auto"/>
        <w:ind w:left="-990" w:right="-868"/>
        <w:rPr>
          <w:rFonts w:ascii="Avenir Next LT Pro" w:eastAsia="Verdana" w:hAnsi="Avenir Next LT Pro" w:cs="Verdana"/>
          <w:color w:val="000000" w:themeColor="text1"/>
          <w:lang w:val="es-ES_tradnl"/>
        </w:rPr>
      </w:pPr>
      <w:r w:rsidRPr="00BE05FE">
        <w:rPr>
          <w:rFonts w:ascii="Avenir Next LT Pro" w:eastAsia="Verdana" w:hAnsi="Avenir Next LT Pro" w:cs="Verdana"/>
          <w:color w:val="000000" w:themeColor="text1"/>
          <w:lang w:val="es-ES_tradnl"/>
        </w:rPr>
        <w:t>«Las decisiones terapéuticas no consisten en determinar qué técnica o material es superior a otro», afirma Adriano Teixeira, responsable de formación técnica d</w:t>
      </w:r>
      <w:r>
        <w:rPr>
          <w:rFonts w:ascii="Avenir Next LT Pro" w:eastAsia="Verdana" w:hAnsi="Avenir Next LT Pro" w:cs="Verdana"/>
          <w:color w:val="000000" w:themeColor="text1"/>
          <w:lang w:val="es-ES_tradnl"/>
        </w:rPr>
        <w:t>e GC Europe Campus</w:t>
      </w:r>
      <w:r w:rsidRPr="00BE05FE">
        <w:rPr>
          <w:rFonts w:ascii="Avenir Next LT Pro" w:eastAsia="Verdana" w:hAnsi="Avenir Next LT Pro" w:cs="Verdana"/>
          <w:color w:val="000000" w:themeColor="text1"/>
          <w:lang w:val="es-ES_tradnl"/>
        </w:rPr>
        <w:t>. «Se trata de comprender el origen del problema y seleccionar el material y la intervención adecuados para el objetivo adecuado y en el momento oportuno, teniendo siempre como principio rector la preservación de la estructura dental.»</w:t>
      </w:r>
    </w:p>
    <w:p w14:paraId="22B429EC" w14:textId="77777777" w:rsidR="00BE05FE" w:rsidRPr="00BE05FE" w:rsidRDefault="00BE05FE" w:rsidP="00BE05FE">
      <w:pPr>
        <w:spacing w:line="360" w:lineRule="auto"/>
        <w:ind w:left="-990" w:right="-868"/>
        <w:rPr>
          <w:rFonts w:ascii="Avenir Next LT Pro" w:eastAsia="Verdana" w:hAnsi="Avenir Next LT Pro" w:cs="Verdana"/>
          <w:b/>
          <w:bCs/>
          <w:color w:val="000000" w:themeColor="text1"/>
          <w:lang w:val="es-ES_tradnl"/>
        </w:rPr>
      </w:pPr>
      <w:r w:rsidRPr="00BE05FE">
        <w:rPr>
          <w:rFonts w:ascii="Avenir Next LT Pro" w:eastAsia="Verdana" w:hAnsi="Avenir Next LT Pro" w:cs="Verdana"/>
          <w:b/>
          <w:bCs/>
          <w:color w:val="000000" w:themeColor="text1"/>
          <w:lang w:val="es-ES_tradnl"/>
        </w:rPr>
        <w:t>Sobre la campaña</w:t>
      </w:r>
    </w:p>
    <w:p w14:paraId="74B90C76" w14:textId="77777777" w:rsidR="00BE05FE" w:rsidRDefault="00BE05FE" w:rsidP="00BE05FE">
      <w:pPr>
        <w:spacing w:line="360" w:lineRule="auto"/>
        <w:ind w:left="-990" w:right="-868"/>
        <w:rPr>
          <w:rFonts w:ascii="Avenir Next LT Pro" w:eastAsia="Verdana" w:hAnsi="Avenir Next LT Pro" w:cs="Verdana"/>
          <w:color w:val="000000" w:themeColor="text1"/>
          <w:lang w:val="es-ES_tradnl"/>
        </w:rPr>
      </w:pPr>
      <w:r w:rsidRPr="00BE05FE">
        <w:rPr>
          <w:rFonts w:ascii="Avenir Next LT Pro" w:eastAsia="Verdana" w:hAnsi="Avenir Next LT Pro" w:cs="Verdana"/>
          <w:color w:val="000000" w:themeColor="text1"/>
          <w:lang w:val="es-ES_tradnl"/>
        </w:rPr>
        <w:t>La campaña se desarrollará a través de múltiples plataformas, entre ellas publicaciones profesionales, canales digitales, actividades de formación clínica y cursos prácticos. Refleja el compromiso continuo de GC de apoyar a los profesionales de la odontología para que puedan ofrecer resultados predecibles y centrados en el paciente en todas las fases del desgaste dental.</w:t>
      </w:r>
    </w:p>
    <w:p w14:paraId="37388624" w14:textId="77777777" w:rsidR="00BE05FE" w:rsidRPr="00BE05FE" w:rsidRDefault="00BE05FE" w:rsidP="00BE05FE">
      <w:pPr>
        <w:spacing w:line="360" w:lineRule="auto"/>
        <w:ind w:left="-990" w:right="-868"/>
        <w:rPr>
          <w:rFonts w:ascii="Avenir Next LT Pro" w:eastAsia="Verdana" w:hAnsi="Avenir Next LT Pro" w:cs="Verdana"/>
          <w:color w:val="000000" w:themeColor="text1"/>
          <w:lang w:val="es-ES_tradnl"/>
        </w:rPr>
      </w:pPr>
    </w:p>
    <w:p w14:paraId="7A2000E0" w14:textId="77777777" w:rsidR="00BE05FE" w:rsidRPr="00BE05FE" w:rsidRDefault="00BE05FE" w:rsidP="00BE05FE">
      <w:pPr>
        <w:spacing w:line="360" w:lineRule="auto"/>
        <w:ind w:left="-990" w:right="-868"/>
        <w:rPr>
          <w:rFonts w:ascii="Avenir Next LT Pro" w:eastAsia="Verdana" w:hAnsi="Avenir Next LT Pro" w:cs="Verdana"/>
          <w:color w:val="000000" w:themeColor="text1"/>
          <w:lang w:val="es-ES_tradnl"/>
        </w:rPr>
      </w:pPr>
      <w:r w:rsidRPr="00BE05FE">
        <w:rPr>
          <w:rFonts w:ascii="Avenir Next LT Pro" w:eastAsia="Verdana" w:hAnsi="Avenir Next LT Pro" w:cs="Verdana"/>
          <w:b/>
          <w:bCs/>
          <w:color w:val="000000" w:themeColor="text1"/>
          <w:lang w:val="es-ES_tradnl"/>
        </w:rPr>
        <w:t>Más información:</w:t>
      </w:r>
      <w:r w:rsidRPr="00BE05FE">
        <w:rPr>
          <w:rFonts w:ascii="Avenir Next LT Pro" w:eastAsia="Verdana" w:hAnsi="Avenir Next LT Pro" w:cs="Verdana"/>
          <w:color w:val="000000" w:themeColor="text1"/>
          <w:lang w:val="es-ES_tradnl"/>
        </w:rPr>
        <w:t xml:space="preserve"> </w:t>
      </w:r>
      <w:hyperlink r:id="rId10" w:tgtFrame="_new" w:history="1">
        <w:r w:rsidRPr="00BE05FE">
          <w:rPr>
            <w:rStyle w:val="Hipervnculo"/>
            <w:rFonts w:ascii="Avenir Next LT Pro" w:eastAsia="Verdana" w:hAnsi="Avenir Next LT Pro" w:cs="Verdana"/>
            <w:lang w:val="es-ES_tradnl"/>
          </w:rPr>
          <w:t>https://campaigns-gceurope.com/wear-solutions</w:t>
        </w:r>
      </w:hyperlink>
    </w:p>
    <w:p w14:paraId="31199F12" w14:textId="77777777" w:rsidR="00BE05FE" w:rsidRPr="00BE05FE" w:rsidRDefault="00BE05FE" w:rsidP="008D24A9">
      <w:pPr>
        <w:spacing w:line="360" w:lineRule="auto"/>
        <w:ind w:left="-990" w:right="-868"/>
        <w:rPr>
          <w:rFonts w:ascii="Avenir Next LT Pro" w:eastAsia="Verdana" w:hAnsi="Avenir Next LT Pro" w:cs="Verdana"/>
          <w:color w:val="000000" w:themeColor="text1"/>
          <w:lang w:val="es-ES_tradnl"/>
        </w:rPr>
      </w:pPr>
    </w:p>
    <w:p w14:paraId="180646A0" w14:textId="4B4BED89" w:rsidR="00F303A3" w:rsidRPr="00BE05FE" w:rsidRDefault="00D836FC" w:rsidP="008D24A9">
      <w:pPr>
        <w:spacing w:line="360" w:lineRule="auto"/>
        <w:ind w:right="-868"/>
        <w:rPr>
          <w:rFonts w:ascii="Avenir Next LT Pro" w:eastAsia="Verdana" w:hAnsi="Avenir Next LT Pro" w:cs="Verdana"/>
          <w:color w:val="000000" w:themeColor="text1"/>
          <w:lang w:val="es-ES_tradnl"/>
        </w:rPr>
      </w:pPr>
      <w:r w:rsidRPr="00BE05FE">
        <w:rPr>
          <w:rFonts w:ascii="Avenir Next LT Pro" w:eastAsia="Verdana" w:hAnsi="Avenir Next LT Pro" w:cs="Verdana"/>
          <w:color w:val="000000" w:themeColor="text1"/>
          <w:lang w:val="es-ES_tradnl"/>
        </w:rPr>
        <w:t xml:space="preserve"> </w:t>
      </w:r>
    </w:p>
    <w:p w14:paraId="34A9CF65" w14:textId="1A67B52A" w:rsidR="00C12E8E" w:rsidRPr="009B454D" w:rsidRDefault="00C12E8E" w:rsidP="004E2FB3">
      <w:pPr>
        <w:spacing w:line="360" w:lineRule="auto"/>
        <w:ind w:left="-990" w:right="-868"/>
        <w:rPr>
          <w:rFonts w:ascii="Avenir Next LT Pro" w:eastAsia="Verdana" w:hAnsi="Avenir Next LT Pro" w:cs="Verdana"/>
          <w:bCs/>
          <w:color w:val="000000" w:themeColor="text1"/>
          <w:spacing w:val="5"/>
          <w:kern w:val="28"/>
          <w:sz w:val="22"/>
          <w:szCs w:val="22"/>
          <w:u w:color="464646"/>
          <w:lang w:val="fr-FR"/>
        </w:rPr>
      </w:pPr>
      <w:r w:rsidRPr="009B454D">
        <w:rPr>
          <w:rFonts w:ascii="Avenir Next LT Pro" w:hAnsi="Avenir Next LT Pro"/>
          <w:bCs/>
          <w:color w:val="000000" w:themeColor="text1"/>
          <w:spacing w:val="5"/>
          <w:kern w:val="28"/>
          <w:sz w:val="22"/>
          <w:szCs w:val="22"/>
          <w:u w:color="464646"/>
          <w:lang w:val="fr-FR"/>
        </w:rPr>
        <w:t>GC Europe N.V.</w:t>
      </w:r>
    </w:p>
    <w:p w14:paraId="71863812" w14:textId="77777777" w:rsidR="00C12E8E" w:rsidRPr="00631D36"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proofErr w:type="spellStart"/>
      <w:r w:rsidRPr="00631D36">
        <w:rPr>
          <w:rFonts w:ascii="Avenir Next LT Pro" w:hAnsi="Avenir Next LT Pro"/>
          <w:color w:val="000000" w:themeColor="text1"/>
          <w:spacing w:val="5"/>
          <w:kern w:val="28"/>
          <w:sz w:val="22"/>
          <w:szCs w:val="22"/>
          <w:u w:color="464646"/>
          <w:lang w:val="fr-FR"/>
        </w:rPr>
        <w:t>Interleuvenlaan</w:t>
      </w:r>
      <w:proofErr w:type="spellEnd"/>
      <w:r w:rsidRPr="00631D36">
        <w:rPr>
          <w:rFonts w:ascii="Avenir Next LT Pro" w:hAnsi="Avenir Next LT Pro"/>
          <w:color w:val="000000" w:themeColor="text1"/>
          <w:spacing w:val="5"/>
          <w:kern w:val="28"/>
          <w:sz w:val="22"/>
          <w:szCs w:val="22"/>
          <w:u w:color="464646"/>
          <w:lang w:val="fr-FR"/>
        </w:rPr>
        <w:t xml:space="preserve"> 33</w:t>
      </w:r>
    </w:p>
    <w:p w14:paraId="452202D6" w14:textId="77777777" w:rsidR="00C12E8E" w:rsidRPr="00631D36"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t>3001 Leuven</w:t>
      </w:r>
    </w:p>
    <w:p w14:paraId="44D3AA60" w14:textId="6EC948AB" w:rsidR="00C12E8E" w:rsidRPr="00631D36" w:rsidRDefault="00C12E8E" w:rsidP="004E2FB3">
      <w:pPr>
        <w:tabs>
          <w:tab w:val="left" w:pos="708"/>
          <w:tab w:val="left" w:pos="1416"/>
          <w:tab w:val="left" w:pos="2124"/>
          <w:tab w:val="left" w:pos="4020"/>
        </w:tabs>
        <w:spacing w:line="360" w:lineRule="auto"/>
        <w:ind w:left="-990" w:right="-868"/>
        <w:rPr>
          <w:rFonts w:ascii="Avenir Next LT Pro" w:hAnsi="Avenir Next LT Pro"/>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t>+32.16.74.10.00</w:t>
      </w:r>
      <w:r w:rsidRPr="00631D36">
        <w:rPr>
          <w:rFonts w:ascii="Avenir Next LT Pro" w:hAnsi="Avenir Next LT Pro"/>
          <w:color w:val="000000" w:themeColor="text1"/>
          <w:spacing w:val="5"/>
          <w:kern w:val="28"/>
          <w:sz w:val="22"/>
          <w:szCs w:val="22"/>
          <w:u w:color="464646"/>
          <w:lang w:val="fr-FR"/>
        </w:rPr>
        <w:tab/>
      </w:r>
    </w:p>
    <w:p w14:paraId="3AF5C46E" w14:textId="408D2A99" w:rsidR="00567F3E" w:rsidRPr="00631D36" w:rsidRDefault="00567F3E" w:rsidP="004E2FB3">
      <w:pPr>
        <w:tabs>
          <w:tab w:val="left" w:pos="708"/>
          <w:tab w:val="left" w:pos="1416"/>
          <w:tab w:val="left" w:pos="2124"/>
          <w:tab w:val="left" w:pos="4020"/>
        </w:tabs>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t>https://www.gc.dental/europe</w:t>
      </w:r>
    </w:p>
    <w:p w14:paraId="17B68DE6" w14:textId="2FC4C36C" w:rsidR="000A485C" w:rsidRDefault="007D00B3" w:rsidP="004E2FB3">
      <w:pPr>
        <w:pStyle w:val="NormalWeb"/>
        <w:spacing w:before="0" w:after="0" w:line="360" w:lineRule="auto"/>
        <w:ind w:left="-990" w:right="-868"/>
        <w:rPr>
          <w:rStyle w:val="Hipervnculo"/>
          <w:rFonts w:ascii="Avenir Next LT Pro" w:hAnsi="Avenir Next LT Pro"/>
          <w:color w:val="000000" w:themeColor="text1"/>
          <w:spacing w:val="5"/>
          <w:kern w:val="28"/>
          <w:sz w:val="22"/>
          <w:szCs w:val="22"/>
          <w:lang w:val="fr-FR"/>
        </w:rPr>
      </w:pPr>
      <w:hyperlink r:id="rId11" w:history="1">
        <w:r w:rsidRPr="00631D36">
          <w:rPr>
            <w:rStyle w:val="Hipervnculo"/>
            <w:rFonts w:ascii="Avenir Next LT Pro" w:hAnsi="Avenir Next LT Pro"/>
            <w:color w:val="000000" w:themeColor="text1"/>
            <w:spacing w:val="5"/>
            <w:kern w:val="28"/>
            <w:sz w:val="22"/>
            <w:szCs w:val="22"/>
            <w:lang w:val="fr-FR"/>
          </w:rPr>
          <w:t>info.gce@gc.dental</w:t>
        </w:r>
      </w:hyperlink>
    </w:p>
    <w:p w14:paraId="2A89CE18" w14:textId="77777777" w:rsidR="00A2121B" w:rsidRPr="00631D36" w:rsidRDefault="00A2121B" w:rsidP="004E2FB3">
      <w:pPr>
        <w:pStyle w:val="NormalWeb"/>
        <w:spacing w:before="0" w:after="0" w:line="360" w:lineRule="auto"/>
        <w:ind w:left="-990" w:right="-868"/>
        <w:rPr>
          <w:rStyle w:val="Hipervnculo"/>
          <w:rFonts w:ascii="Avenir Next LT Pro" w:hAnsi="Avenir Next LT Pro"/>
          <w:color w:val="000000" w:themeColor="text1"/>
          <w:spacing w:val="5"/>
          <w:kern w:val="28"/>
          <w:sz w:val="22"/>
          <w:szCs w:val="22"/>
          <w:lang w:val="fr-FR"/>
        </w:rPr>
      </w:pPr>
    </w:p>
    <w:p w14:paraId="2AEB49FD" w14:textId="26625CAF" w:rsidR="00A5023C" w:rsidRDefault="008347C9" w:rsidP="004E2FB3">
      <w:pPr>
        <w:pStyle w:val="NormalWeb"/>
        <w:spacing w:before="0" w:after="0" w:line="360" w:lineRule="auto"/>
        <w:ind w:left="-990" w:right="-868"/>
        <w:rPr>
          <w:rStyle w:val="Hipervnculo"/>
          <w:rFonts w:ascii="Avenir Next LT Pro" w:hAnsi="Avenir Next LT Pro"/>
          <w:color w:val="000000" w:themeColor="text1"/>
          <w:spacing w:val="5"/>
          <w:kern w:val="28"/>
          <w:sz w:val="22"/>
          <w:szCs w:val="22"/>
          <w:lang w:val="fr-FR"/>
        </w:rPr>
      </w:pPr>
      <w:r w:rsidRPr="008347C9">
        <w:rPr>
          <w:rStyle w:val="Hipervnculo"/>
          <w:rFonts w:ascii="Avenir Next LT Pro" w:hAnsi="Avenir Next LT Pro"/>
          <w:noProof/>
          <w:color w:val="000000" w:themeColor="text1"/>
          <w:spacing w:val="5"/>
          <w:kern w:val="28"/>
          <w:sz w:val="22"/>
          <w:szCs w:val="22"/>
          <w:lang w:val="fr-FR"/>
        </w:rPr>
        <w:lastRenderedPageBreak/>
        <w:drawing>
          <wp:inline distT="0" distB="0" distL="0" distR="0" wp14:anchorId="268A7334" wp14:editId="2C152864">
            <wp:extent cx="4581525" cy="2813685"/>
            <wp:effectExtent l="0" t="0" r="9525" b="5715"/>
            <wp:docPr id="1673600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0554" name=""/>
                    <pic:cNvPicPr/>
                  </pic:nvPicPr>
                  <pic:blipFill>
                    <a:blip r:embed="rId12"/>
                    <a:stretch>
                      <a:fillRect/>
                    </a:stretch>
                  </pic:blipFill>
                  <pic:spPr>
                    <a:xfrm>
                      <a:off x="0" y="0"/>
                      <a:ext cx="4581525" cy="2813685"/>
                    </a:xfrm>
                    <a:prstGeom prst="rect">
                      <a:avLst/>
                    </a:prstGeom>
                  </pic:spPr>
                </pic:pic>
              </a:graphicData>
            </a:graphic>
          </wp:inline>
        </w:drawing>
      </w:r>
    </w:p>
    <w:p w14:paraId="5664563F" w14:textId="55FEE0C9" w:rsidR="00A2121B" w:rsidRPr="00BE05FE" w:rsidRDefault="00BE05FE" w:rsidP="00BE05FE">
      <w:pPr>
        <w:pStyle w:val="NormalWeb"/>
        <w:spacing w:before="0" w:after="0" w:line="360" w:lineRule="auto"/>
        <w:ind w:left="-990" w:right="-868"/>
        <w:rPr>
          <w:rStyle w:val="Hipervnculo"/>
          <w:rFonts w:ascii="Avenir Next LT Pro" w:hAnsi="Avenir Next LT Pro"/>
          <w:b/>
          <w:bCs/>
          <w:color w:val="000000" w:themeColor="text1"/>
          <w:spacing w:val="5"/>
          <w:kern w:val="28"/>
          <w:sz w:val="20"/>
          <w:szCs w:val="20"/>
          <w:u w:val="none"/>
          <w:lang w:val="es-ES_tradnl"/>
        </w:rPr>
      </w:pPr>
      <w:r w:rsidRPr="00BE05FE">
        <w:rPr>
          <w:rStyle w:val="Hipervnculo"/>
          <w:rFonts w:ascii="Avenir Next LT Pro" w:hAnsi="Avenir Next LT Pro"/>
          <w:b/>
          <w:bCs/>
          <w:color w:val="000000" w:themeColor="text1"/>
          <w:spacing w:val="5"/>
          <w:kern w:val="28"/>
          <w:sz w:val="20"/>
          <w:szCs w:val="20"/>
          <w:u w:val="none"/>
          <w:lang w:val="es-ES_tradnl"/>
        </w:rPr>
        <w:t>Imagen de la campaña. Los casos complejos de desgaste dental requieren un abordaje por etapas, adaptado a las necesidades individuales de cada paciente.</w:t>
      </w:r>
    </w:p>
    <w:sectPr w:rsidR="00A2121B" w:rsidRPr="00BE05FE" w:rsidSect="00375891">
      <w:headerReference w:type="default" r:id="rId13"/>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B4E39" w14:textId="77777777" w:rsidR="00E72006" w:rsidRDefault="00E72006">
      <w:r>
        <w:separator/>
      </w:r>
    </w:p>
  </w:endnote>
  <w:endnote w:type="continuationSeparator" w:id="0">
    <w:p w14:paraId="0794DBB9" w14:textId="77777777" w:rsidR="00E72006" w:rsidRDefault="00E72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8A914" w14:textId="77777777" w:rsidR="00E72006" w:rsidRDefault="00E72006">
      <w:r>
        <w:separator/>
      </w:r>
    </w:p>
  </w:footnote>
  <w:footnote w:type="continuationSeparator" w:id="0">
    <w:p w14:paraId="161A0C77" w14:textId="77777777" w:rsidR="00E72006" w:rsidRDefault="00E72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E29D1" w14:textId="518C03B9" w:rsidR="004C48D0" w:rsidRDefault="002A1F4F">
    <w:pPr>
      <w:pStyle w:val="Encabezado"/>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2011641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14D2C"/>
    <w:rsid w:val="000207F2"/>
    <w:rsid w:val="00022CFD"/>
    <w:rsid w:val="00027E69"/>
    <w:rsid w:val="000455B2"/>
    <w:rsid w:val="00045DA8"/>
    <w:rsid w:val="00046D80"/>
    <w:rsid w:val="000517FE"/>
    <w:rsid w:val="000578B1"/>
    <w:rsid w:val="000713AA"/>
    <w:rsid w:val="00076EC4"/>
    <w:rsid w:val="000800FA"/>
    <w:rsid w:val="000861F8"/>
    <w:rsid w:val="000878FC"/>
    <w:rsid w:val="000A485C"/>
    <w:rsid w:val="000A7D73"/>
    <w:rsid w:val="000B0125"/>
    <w:rsid w:val="000C3B2B"/>
    <w:rsid w:val="000D1716"/>
    <w:rsid w:val="000E4999"/>
    <w:rsid w:val="00102286"/>
    <w:rsid w:val="00103A52"/>
    <w:rsid w:val="00106786"/>
    <w:rsid w:val="00107638"/>
    <w:rsid w:val="00112618"/>
    <w:rsid w:val="001157A8"/>
    <w:rsid w:val="00116E35"/>
    <w:rsid w:val="00125EB9"/>
    <w:rsid w:val="0014534A"/>
    <w:rsid w:val="0016511A"/>
    <w:rsid w:val="00166901"/>
    <w:rsid w:val="00167D45"/>
    <w:rsid w:val="00176AEF"/>
    <w:rsid w:val="001B0EA6"/>
    <w:rsid w:val="001B35D6"/>
    <w:rsid w:val="001B5343"/>
    <w:rsid w:val="001B5373"/>
    <w:rsid w:val="001C1388"/>
    <w:rsid w:val="001E2384"/>
    <w:rsid w:val="001E3E8C"/>
    <w:rsid w:val="00203AFB"/>
    <w:rsid w:val="00203E9C"/>
    <w:rsid w:val="00204E47"/>
    <w:rsid w:val="00206A13"/>
    <w:rsid w:val="002107C7"/>
    <w:rsid w:val="00236B8D"/>
    <w:rsid w:val="00242D61"/>
    <w:rsid w:val="00247359"/>
    <w:rsid w:val="002649B6"/>
    <w:rsid w:val="00270FCD"/>
    <w:rsid w:val="00276CD5"/>
    <w:rsid w:val="00281E40"/>
    <w:rsid w:val="00283337"/>
    <w:rsid w:val="00291EEA"/>
    <w:rsid w:val="002974A2"/>
    <w:rsid w:val="002A1F4F"/>
    <w:rsid w:val="002A3D1C"/>
    <w:rsid w:val="002A4426"/>
    <w:rsid w:val="002C389F"/>
    <w:rsid w:val="002D47E2"/>
    <w:rsid w:val="002F390A"/>
    <w:rsid w:val="003042DF"/>
    <w:rsid w:val="00305CA6"/>
    <w:rsid w:val="00312F6E"/>
    <w:rsid w:val="00315091"/>
    <w:rsid w:val="00317321"/>
    <w:rsid w:val="00321DE6"/>
    <w:rsid w:val="0032290E"/>
    <w:rsid w:val="00325206"/>
    <w:rsid w:val="00327168"/>
    <w:rsid w:val="00351E27"/>
    <w:rsid w:val="003602A1"/>
    <w:rsid w:val="00360843"/>
    <w:rsid w:val="00366D42"/>
    <w:rsid w:val="00375891"/>
    <w:rsid w:val="00390C9F"/>
    <w:rsid w:val="003A434A"/>
    <w:rsid w:val="003A43CF"/>
    <w:rsid w:val="003B1404"/>
    <w:rsid w:val="003B1417"/>
    <w:rsid w:val="003B4C34"/>
    <w:rsid w:val="003C34C8"/>
    <w:rsid w:val="003C645C"/>
    <w:rsid w:val="003D01E9"/>
    <w:rsid w:val="003D34D0"/>
    <w:rsid w:val="003D5E25"/>
    <w:rsid w:val="003D747E"/>
    <w:rsid w:val="003F1B6F"/>
    <w:rsid w:val="003F28BA"/>
    <w:rsid w:val="00412841"/>
    <w:rsid w:val="00426EDA"/>
    <w:rsid w:val="0043690C"/>
    <w:rsid w:val="00436D5D"/>
    <w:rsid w:val="004413E2"/>
    <w:rsid w:val="00444A98"/>
    <w:rsid w:val="00453816"/>
    <w:rsid w:val="0045674B"/>
    <w:rsid w:val="00456F59"/>
    <w:rsid w:val="00474392"/>
    <w:rsid w:val="00480DBA"/>
    <w:rsid w:val="00481B63"/>
    <w:rsid w:val="00481DAB"/>
    <w:rsid w:val="00490941"/>
    <w:rsid w:val="0049147A"/>
    <w:rsid w:val="00492F65"/>
    <w:rsid w:val="004958AE"/>
    <w:rsid w:val="00495DD2"/>
    <w:rsid w:val="004A245C"/>
    <w:rsid w:val="004B6241"/>
    <w:rsid w:val="004C3D5F"/>
    <w:rsid w:val="004C48D0"/>
    <w:rsid w:val="004C582E"/>
    <w:rsid w:val="004D0FBF"/>
    <w:rsid w:val="004D3B6C"/>
    <w:rsid w:val="004D6F35"/>
    <w:rsid w:val="004E2FB3"/>
    <w:rsid w:val="00502C6F"/>
    <w:rsid w:val="00505D67"/>
    <w:rsid w:val="0052480D"/>
    <w:rsid w:val="00533A3B"/>
    <w:rsid w:val="00543AEC"/>
    <w:rsid w:val="00552443"/>
    <w:rsid w:val="00553334"/>
    <w:rsid w:val="00567F3E"/>
    <w:rsid w:val="00572892"/>
    <w:rsid w:val="0058288B"/>
    <w:rsid w:val="00587CDE"/>
    <w:rsid w:val="00591E21"/>
    <w:rsid w:val="005C5EED"/>
    <w:rsid w:val="005D1861"/>
    <w:rsid w:val="005D562A"/>
    <w:rsid w:val="005D7797"/>
    <w:rsid w:val="005E7894"/>
    <w:rsid w:val="005F1CDD"/>
    <w:rsid w:val="00610AAC"/>
    <w:rsid w:val="006118F5"/>
    <w:rsid w:val="006125B9"/>
    <w:rsid w:val="00614BAD"/>
    <w:rsid w:val="006155A5"/>
    <w:rsid w:val="00616A54"/>
    <w:rsid w:val="00616A77"/>
    <w:rsid w:val="00616F42"/>
    <w:rsid w:val="00617D27"/>
    <w:rsid w:val="00631D36"/>
    <w:rsid w:val="0063721E"/>
    <w:rsid w:val="00641C27"/>
    <w:rsid w:val="00642020"/>
    <w:rsid w:val="006552E8"/>
    <w:rsid w:val="006573BC"/>
    <w:rsid w:val="00657BB0"/>
    <w:rsid w:val="0066042E"/>
    <w:rsid w:val="006616BC"/>
    <w:rsid w:val="00663B73"/>
    <w:rsid w:val="00671E66"/>
    <w:rsid w:val="00681CE3"/>
    <w:rsid w:val="006822E2"/>
    <w:rsid w:val="00686B6F"/>
    <w:rsid w:val="006A03EF"/>
    <w:rsid w:val="006B3276"/>
    <w:rsid w:val="006C32FB"/>
    <w:rsid w:val="006C68FF"/>
    <w:rsid w:val="006D0C1F"/>
    <w:rsid w:val="006D2FB4"/>
    <w:rsid w:val="007011CE"/>
    <w:rsid w:val="0070518E"/>
    <w:rsid w:val="007157A6"/>
    <w:rsid w:val="0072441C"/>
    <w:rsid w:val="00737C03"/>
    <w:rsid w:val="007437AC"/>
    <w:rsid w:val="00775ABD"/>
    <w:rsid w:val="00776B7A"/>
    <w:rsid w:val="00776E54"/>
    <w:rsid w:val="007821B3"/>
    <w:rsid w:val="00783624"/>
    <w:rsid w:val="007847F0"/>
    <w:rsid w:val="00794E0C"/>
    <w:rsid w:val="007973C3"/>
    <w:rsid w:val="007B054F"/>
    <w:rsid w:val="007B3D19"/>
    <w:rsid w:val="007D00B3"/>
    <w:rsid w:val="007D7D19"/>
    <w:rsid w:val="007E0547"/>
    <w:rsid w:val="007E41A8"/>
    <w:rsid w:val="007E448B"/>
    <w:rsid w:val="007F5940"/>
    <w:rsid w:val="0080482A"/>
    <w:rsid w:val="00805200"/>
    <w:rsid w:val="00807AFC"/>
    <w:rsid w:val="0081734F"/>
    <w:rsid w:val="00817794"/>
    <w:rsid w:val="00821D97"/>
    <w:rsid w:val="008342B2"/>
    <w:rsid w:val="008347C9"/>
    <w:rsid w:val="00840318"/>
    <w:rsid w:val="00850425"/>
    <w:rsid w:val="00857C3B"/>
    <w:rsid w:val="00861BC0"/>
    <w:rsid w:val="00862469"/>
    <w:rsid w:val="008663A4"/>
    <w:rsid w:val="00867C29"/>
    <w:rsid w:val="008753D9"/>
    <w:rsid w:val="00875CC1"/>
    <w:rsid w:val="00881733"/>
    <w:rsid w:val="00881F99"/>
    <w:rsid w:val="00883A8F"/>
    <w:rsid w:val="008921EB"/>
    <w:rsid w:val="0089359B"/>
    <w:rsid w:val="0089423C"/>
    <w:rsid w:val="008942A0"/>
    <w:rsid w:val="008A4046"/>
    <w:rsid w:val="008A4C1F"/>
    <w:rsid w:val="008A56E8"/>
    <w:rsid w:val="008A629E"/>
    <w:rsid w:val="008A7D3D"/>
    <w:rsid w:val="008B31D4"/>
    <w:rsid w:val="008D24A9"/>
    <w:rsid w:val="008D3594"/>
    <w:rsid w:val="008D73C8"/>
    <w:rsid w:val="008E1A49"/>
    <w:rsid w:val="008F7868"/>
    <w:rsid w:val="009046DE"/>
    <w:rsid w:val="009047ED"/>
    <w:rsid w:val="00905E3A"/>
    <w:rsid w:val="00906474"/>
    <w:rsid w:val="00911D35"/>
    <w:rsid w:val="009149F1"/>
    <w:rsid w:val="00914C1C"/>
    <w:rsid w:val="00917845"/>
    <w:rsid w:val="00933CBE"/>
    <w:rsid w:val="00934FB3"/>
    <w:rsid w:val="00960DB7"/>
    <w:rsid w:val="00962018"/>
    <w:rsid w:val="00977829"/>
    <w:rsid w:val="00981F33"/>
    <w:rsid w:val="00982440"/>
    <w:rsid w:val="00986AA8"/>
    <w:rsid w:val="00996681"/>
    <w:rsid w:val="00997CA1"/>
    <w:rsid w:val="009B454D"/>
    <w:rsid w:val="009C1D99"/>
    <w:rsid w:val="009D4A1F"/>
    <w:rsid w:val="009E52BD"/>
    <w:rsid w:val="009F7A7F"/>
    <w:rsid w:val="00A03D4B"/>
    <w:rsid w:val="00A2121B"/>
    <w:rsid w:val="00A304BF"/>
    <w:rsid w:val="00A310AE"/>
    <w:rsid w:val="00A4263C"/>
    <w:rsid w:val="00A46F12"/>
    <w:rsid w:val="00A5023C"/>
    <w:rsid w:val="00A61502"/>
    <w:rsid w:val="00A65A6F"/>
    <w:rsid w:val="00A67AE7"/>
    <w:rsid w:val="00A7156F"/>
    <w:rsid w:val="00A7746D"/>
    <w:rsid w:val="00A80F69"/>
    <w:rsid w:val="00A844B5"/>
    <w:rsid w:val="00AC77C3"/>
    <w:rsid w:val="00AE06AA"/>
    <w:rsid w:val="00AE709B"/>
    <w:rsid w:val="00B01BEF"/>
    <w:rsid w:val="00B0266B"/>
    <w:rsid w:val="00B0362E"/>
    <w:rsid w:val="00B04612"/>
    <w:rsid w:val="00B0625B"/>
    <w:rsid w:val="00B113EF"/>
    <w:rsid w:val="00B1164E"/>
    <w:rsid w:val="00B20BBD"/>
    <w:rsid w:val="00B20FF6"/>
    <w:rsid w:val="00B449F7"/>
    <w:rsid w:val="00B734AA"/>
    <w:rsid w:val="00B80A18"/>
    <w:rsid w:val="00B8101A"/>
    <w:rsid w:val="00B85591"/>
    <w:rsid w:val="00BB5D11"/>
    <w:rsid w:val="00BD25AB"/>
    <w:rsid w:val="00BD4617"/>
    <w:rsid w:val="00BE05FE"/>
    <w:rsid w:val="00BE1580"/>
    <w:rsid w:val="00BE4BC8"/>
    <w:rsid w:val="00BE5C2D"/>
    <w:rsid w:val="00BF2100"/>
    <w:rsid w:val="00C05012"/>
    <w:rsid w:val="00C12E8E"/>
    <w:rsid w:val="00C168DB"/>
    <w:rsid w:val="00C2221D"/>
    <w:rsid w:val="00C31577"/>
    <w:rsid w:val="00C436B7"/>
    <w:rsid w:val="00C43F6C"/>
    <w:rsid w:val="00C60B64"/>
    <w:rsid w:val="00CA4627"/>
    <w:rsid w:val="00CA5DBB"/>
    <w:rsid w:val="00CC6660"/>
    <w:rsid w:val="00CD0F90"/>
    <w:rsid w:val="00D01FED"/>
    <w:rsid w:val="00D055EB"/>
    <w:rsid w:val="00D16301"/>
    <w:rsid w:val="00D21359"/>
    <w:rsid w:val="00D33936"/>
    <w:rsid w:val="00D53FA7"/>
    <w:rsid w:val="00D55083"/>
    <w:rsid w:val="00D64144"/>
    <w:rsid w:val="00D75E90"/>
    <w:rsid w:val="00D836FC"/>
    <w:rsid w:val="00DB49ED"/>
    <w:rsid w:val="00DB50BD"/>
    <w:rsid w:val="00DC1238"/>
    <w:rsid w:val="00DD11C7"/>
    <w:rsid w:val="00DD4ADD"/>
    <w:rsid w:val="00DE1399"/>
    <w:rsid w:val="00DF3946"/>
    <w:rsid w:val="00DF627B"/>
    <w:rsid w:val="00E00439"/>
    <w:rsid w:val="00E07420"/>
    <w:rsid w:val="00E17232"/>
    <w:rsid w:val="00E23C42"/>
    <w:rsid w:val="00E26DFB"/>
    <w:rsid w:val="00E34C95"/>
    <w:rsid w:val="00E3535A"/>
    <w:rsid w:val="00E37A44"/>
    <w:rsid w:val="00E54570"/>
    <w:rsid w:val="00E54915"/>
    <w:rsid w:val="00E561B3"/>
    <w:rsid w:val="00E60E82"/>
    <w:rsid w:val="00E62825"/>
    <w:rsid w:val="00E675E8"/>
    <w:rsid w:val="00E72006"/>
    <w:rsid w:val="00E767CA"/>
    <w:rsid w:val="00E833B6"/>
    <w:rsid w:val="00E90DDF"/>
    <w:rsid w:val="00E97DFF"/>
    <w:rsid w:val="00EA4468"/>
    <w:rsid w:val="00EA4C38"/>
    <w:rsid w:val="00ED2B9D"/>
    <w:rsid w:val="00ED59B2"/>
    <w:rsid w:val="00ED6B4F"/>
    <w:rsid w:val="00EE790F"/>
    <w:rsid w:val="00F23933"/>
    <w:rsid w:val="00F303A3"/>
    <w:rsid w:val="00F5342D"/>
    <w:rsid w:val="00F966A1"/>
    <w:rsid w:val="00FB5078"/>
    <w:rsid w:val="00FD15CA"/>
    <w:rsid w:val="00FD6DED"/>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cabezado">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Sinespaciado">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cs="Arial Unicode MS"/>
      <w:color w:val="000000"/>
      <w:u w:color="000000"/>
      <w:lang w:val="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D213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359"/>
    <w:rPr>
      <w:rFonts w:ascii="Segoe UI" w:hAnsi="Segoe UI" w:cs="Segoe UI"/>
      <w:color w:val="000000"/>
      <w:sz w:val="18"/>
      <w:szCs w:val="18"/>
      <w:u w:color="000000"/>
      <w:lang w:val="en-US"/>
    </w:rPr>
  </w:style>
  <w:style w:type="paragraph" w:styleId="Piedepgina">
    <w:name w:val="footer"/>
    <w:basedOn w:val="Normal"/>
    <w:link w:val="PiedepginaCar"/>
    <w:uiPriority w:val="99"/>
    <w:unhideWhenUsed/>
    <w:rsid w:val="008F7868"/>
    <w:pPr>
      <w:tabs>
        <w:tab w:val="center" w:pos="4680"/>
        <w:tab w:val="right" w:pos="9360"/>
      </w:tabs>
    </w:pPr>
  </w:style>
  <w:style w:type="character" w:customStyle="1" w:styleId="PiedepginaCar">
    <w:name w:val="Pie de página Car"/>
    <w:basedOn w:val="Fuentedeprrafopredeter"/>
    <w:link w:val="Piedepgina"/>
    <w:uiPriority w:val="99"/>
    <w:rsid w:val="008F7868"/>
    <w:rPr>
      <w:rFonts w:cs="Arial Unicode MS"/>
      <w:color w:val="000000"/>
      <w:sz w:val="24"/>
      <w:szCs w:val="24"/>
      <w:u w:color="000000"/>
      <w:lang w:val="en-US"/>
    </w:rPr>
  </w:style>
  <w:style w:type="character" w:styleId="Mencinsinresolver">
    <w:name w:val="Unresolved Mention"/>
    <w:basedOn w:val="Fuentedeprrafopredeter"/>
    <w:uiPriority w:val="99"/>
    <w:semiHidden/>
    <w:unhideWhenUsed/>
    <w:rsid w:val="0052480D"/>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917845"/>
    <w:rPr>
      <w:b/>
      <w:bCs/>
    </w:rPr>
  </w:style>
  <w:style w:type="character" w:customStyle="1" w:styleId="AsuntodelcomentarioCar">
    <w:name w:val="Asunto del comentario Car"/>
    <w:basedOn w:val="TextocomentarioCar"/>
    <w:link w:val="Asuntodelcomentario"/>
    <w:uiPriority w:val="99"/>
    <w:semiHidden/>
    <w:rsid w:val="00917845"/>
    <w:rPr>
      <w:rFonts w:cs="Arial Unicode MS"/>
      <w:b/>
      <w:bCs/>
      <w:color w:val="000000"/>
      <w:u w:color="000000"/>
      <w:lang w:val="en-US"/>
    </w:rPr>
  </w:style>
  <w:style w:type="paragraph" w:styleId="Revisi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Prrafodelista">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30029">
      <w:bodyDiv w:val="1"/>
      <w:marLeft w:val="0"/>
      <w:marRight w:val="0"/>
      <w:marTop w:val="0"/>
      <w:marBottom w:val="0"/>
      <w:divBdr>
        <w:top w:val="none" w:sz="0" w:space="0" w:color="auto"/>
        <w:left w:val="none" w:sz="0" w:space="0" w:color="auto"/>
        <w:bottom w:val="none" w:sz="0" w:space="0" w:color="auto"/>
        <w:right w:val="none" w:sz="0" w:space="0" w:color="auto"/>
      </w:divBdr>
    </w:div>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357393919">
      <w:bodyDiv w:val="1"/>
      <w:marLeft w:val="0"/>
      <w:marRight w:val="0"/>
      <w:marTop w:val="0"/>
      <w:marBottom w:val="0"/>
      <w:divBdr>
        <w:top w:val="none" w:sz="0" w:space="0" w:color="auto"/>
        <w:left w:val="none" w:sz="0" w:space="0" w:color="auto"/>
        <w:bottom w:val="none" w:sz="0" w:space="0" w:color="auto"/>
        <w:right w:val="none" w:sz="0" w:space="0" w:color="auto"/>
      </w:divBdr>
    </w:div>
    <w:div w:id="361832204">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425543922">
      <w:bodyDiv w:val="1"/>
      <w:marLeft w:val="0"/>
      <w:marRight w:val="0"/>
      <w:marTop w:val="0"/>
      <w:marBottom w:val="0"/>
      <w:divBdr>
        <w:top w:val="none" w:sz="0" w:space="0" w:color="auto"/>
        <w:left w:val="none" w:sz="0" w:space="0" w:color="auto"/>
        <w:bottom w:val="none" w:sz="0" w:space="0" w:color="auto"/>
        <w:right w:val="none" w:sz="0" w:space="0" w:color="auto"/>
      </w:divBdr>
    </w:div>
    <w:div w:id="519004186">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835800924">
      <w:bodyDiv w:val="1"/>
      <w:marLeft w:val="0"/>
      <w:marRight w:val="0"/>
      <w:marTop w:val="0"/>
      <w:marBottom w:val="0"/>
      <w:divBdr>
        <w:top w:val="none" w:sz="0" w:space="0" w:color="auto"/>
        <w:left w:val="none" w:sz="0" w:space="0" w:color="auto"/>
        <w:bottom w:val="none" w:sz="0" w:space="0" w:color="auto"/>
        <w:right w:val="none" w:sz="0" w:space="0" w:color="auto"/>
      </w:divBdr>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061709520">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300920274">
      <w:bodyDiv w:val="1"/>
      <w:marLeft w:val="0"/>
      <w:marRight w:val="0"/>
      <w:marTop w:val="0"/>
      <w:marBottom w:val="0"/>
      <w:divBdr>
        <w:top w:val="none" w:sz="0" w:space="0" w:color="auto"/>
        <w:left w:val="none" w:sz="0" w:space="0" w:color="auto"/>
        <w:bottom w:val="none" w:sz="0" w:space="0" w:color="auto"/>
        <w:right w:val="none" w:sz="0" w:space="0" w:color="auto"/>
      </w:divBdr>
    </w:div>
    <w:div w:id="1338383735">
      <w:bodyDiv w:val="1"/>
      <w:marLeft w:val="0"/>
      <w:marRight w:val="0"/>
      <w:marTop w:val="0"/>
      <w:marBottom w:val="0"/>
      <w:divBdr>
        <w:top w:val="none" w:sz="0" w:space="0" w:color="auto"/>
        <w:left w:val="none" w:sz="0" w:space="0" w:color="auto"/>
        <w:bottom w:val="none" w:sz="0" w:space="0" w:color="auto"/>
        <w:right w:val="none" w:sz="0" w:space="0" w:color="auto"/>
      </w:divBdr>
    </w:div>
    <w:div w:id="1406605994">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465657455">
      <w:bodyDiv w:val="1"/>
      <w:marLeft w:val="0"/>
      <w:marRight w:val="0"/>
      <w:marTop w:val="0"/>
      <w:marBottom w:val="0"/>
      <w:divBdr>
        <w:top w:val="none" w:sz="0" w:space="0" w:color="auto"/>
        <w:left w:val="none" w:sz="0" w:space="0" w:color="auto"/>
        <w:bottom w:val="none" w:sz="0" w:space="0" w:color="auto"/>
        <w:right w:val="none" w:sz="0" w:space="0" w:color="auto"/>
      </w:divBdr>
    </w:div>
    <w:div w:id="1502355500">
      <w:bodyDiv w:val="1"/>
      <w:marLeft w:val="0"/>
      <w:marRight w:val="0"/>
      <w:marTop w:val="0"/>
      <w:marBottom w:val="0"/>
      <w:divBdr>
        <w:top w:val="none" w:sz="0" w:space="0" w:color="auto"/>
        <w:left w:val="none" w:sz="0" w:space="0" w:color="auto"/>
        <w:bottom w:val="none" w:sz="0" w:space="0" w:color="auto"/>
        <w:right w:val="none" w:sz="0" w:space="0" w:color="auto"/>
      </w:divBdr>
    </w:div>
    <w:div w:id="1767845604">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gce@gc.denta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campaigns-gceurope.com/wear-solu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C26BEF033A1640B2F93FDACFE41C08" ma:contentTypeVersion="14" ma:contentTypeDescription="Create a new document." ma:contentTypeScope="" ma:versionID="1d4babcee2df5f1dc224969e712411c4">
  <xsd:schema xmlns:xsd="http://www.w3.org/2001/XMLSchema" xmlns:xs="http://www.w3.org/2001/XMLSchema" xmlns:p="http://schemas.microsoft.com/office/2006/metadata/properties" xmlns:ns2="75a7ced3-6034-42ab-8086-73bcc9b2da3d" xmlns:ns3="fbc17045-f088-4e89-878a-d67d32a07470" targetNamespace="http://schemas.microsoft.com/office/2006/metadata/properties" ma:root="true" ma:fieldsID="eed3f0dc932611f649e3cb04a6609875" ns2:_="" ns3:_="">
    <xsd:import namespace="75a7ced3-6034-42ab-8086-73bcc9b2da3d"/>
    <xsd:import namespace="fbc17045-f088-4e89-878a-d67d32a07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7ced3-6034-42ab-8086-73bcc9b2d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e398ed-f563-4533-8dea-c3eb04a4ffba"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17045-f088-4e89-878a-d67d32a074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04c7a4-25b1-4e03-823a-b857dd1905a3}" ma:internalName="TaxCatchAll" ma:showField="CatchAllData" ma:web="fbc17045-f088-4e89-878a-d67d32a074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a7ced3-6034-42ab-8086-73bcc9b2da3d">
      <Terms xmlns="http://schemas.microsoft.com/office/infopath/2007/PartnerControls"/>
    </lcf76f155ced4ddcb4097134ff3c332f>
    <TaxCatchAll xmlns="fbc17045-f088-4e89-878a-d67d32a07470" xsi:nil="true"/>
  </documentManagement>
</p:properties>
</file>

<file path=customXml/itemProps1.xml><?xml version="1.0" encoding="utf-8"?>
<ds:datastoreItem xmlns:ds="http://schemas.openxmlformats.org/officeDocument/2006/customXml" ds:itemID="{2EE093A7-C45F-423E-BA5C-72293E9F4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7ced3-6034-42ab-8086-73bcc9b2da3d"/>
    <ds:schemaRef ds:uri="fbc17045-f088-4e89-878a-d67d32a07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14B0A9-1349-473D-9F03-69A430A2D0AB}">
  <ds:schemaRefs>
    <ds:schemaRef ds:uri="http://schemas.microsoft.com/sharepoint/v3/contenttype/forms"/>
  </ds:schemaRefs>
</ds:datastoreItem>
</file>

<file path=customXml/itemProps3.xml><?xml version="1.0" encoding="utf-8"?>
<ds:datastoreItem xmlns:ds="http://schemas.openxmlformats.org/officeDocument/2006/customXml" ds:itemID="{47491B47-71A0-4897-B3E7-F10264C99DCF}">
  <ds:schemaRefs>
    <ds:schemaRef ds:uri="http://schemas.microsoft.com/office/2006/metadata/properties"/>
    <ds:schemaRef ds:uri="http://schemas.microsoft.com/office/infopath/2007/PartnerControls"/>
    <ds:schemaRef ds:uri="75a7ced3-6034-42ab-8086-73bcc9b2da3d"/>
    <ds:schemaRef ds:uri="fbc17045-f088-4e89-878a-d67d32a0747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465</Words>
  <Characters>2654</Characters>
  <Application>Microsoft Office Word</Application>
  <DocSecurity>4</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Fernandez, Marisa</cp:lastModifiedBy>
  <cp:revision>2</cp:revision>
  <cp:lastPrinted>2020-01-21T15:04:00Z</cp:lastPrinted>
  <dcterms:created xsi:type="dcterms:W3CDTF">2026-07-06T06:53:00Z</dcterms:created>
  <dcterms:modified xsi:type="dcterms:W3CDTF">2026-07-06T06:53:00Z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0x010100C0C26BEF033A1640B2F93FDACFE41C08</vt:lpwstr>
  </property>
  <property fmtid="{D5CDD505-2E9C-101B-9397-08002B2CF9AE}" pid="3" name="Order">
    <vt:r8>1578000</vt:r8>
  </property>
  <property fmtid="{D5CDD505-2E9C-101B-9397-08002B2CF9AE}" pid="4" name="MediaServiceImageTags">
    <vt:lpwstr/>
  </property>
</Properties>
</file>