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7B0425DC" w:rsidR="004C48D0" w:rsidRPr="000D5545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61A98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0D5545">
        <w:rPr>
          <w:rFonts w:ascii="Avenir Next LT Pro" w:hAnsi="Avenir Next LT Pro"/>
          <w:b/>
          <w:bCs/>
          <w:color w:val="000000" w:themeColor="text1"/>
          <w:sz w:val="30"/>
          <w:szCs w:val="30"/>
          <w:lang w:val="it-IT"/>
        </w:rPr>
        <w:t>Press release</w:t>
      </w:r>
    </w:p>
    <w:p w14:paraId="0C69B5D1" w14:textId="77777777" w:rsidR="00270FCD" w:rsidRPr="000D5545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</w:pPr>
    </w:p>
    <w:p w14:paraId="3975AEE1" w14:textId="77777777" w:rsidR="000D5545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  <w:t>Soluzioni indirette a lungo termine per i casi di usura severa da GC</w:t>
      </w:r>
    </w:p>
    <w:p w14:paraId="72414257" w14:textId="77777777" w:rsidR="00817794" w:rsidRPr="000D5545" w:rsidRDefault="00817794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</w:pPr>
    </w:p>
    <w:p w14:paraId="251FA98A" w14:textId="77777777" w:rsidR="000D5545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</w:pPr>
      <w:r w:rsidRPr="000D5545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  <w:t>Da dove iniziare quando l’usura dentale è già avanzata?</w:t>
      </w:r>
    </w:p>
    <w:p w14:paraId="143B1608" w14:textId="77777777" w:rsidR="000517FE" w:rsidRPr="000517FE" w:rsidRDefault="000517FE" w:rsidP="000517FE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</w:p>
    <w:p w14:paraId="347D494C" w14:textId="77777777" w:rsidR="000D5545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>Dopo il successo della campagna dedicata alla gestione diretta dei casi di usura dentale lieve e moderata, GC lancia una nuova iniziativa focalizzata sul trattamento dei casi da moderati a severi, inclusi i restauri indiretti.</w:t>
      </w:r>
    </w:p>
    <w:p w14:paraId="4571B0B1" w14:textId="77777777" w:rsidR="000D5545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>L’usura dentale è un processo legato all’invecchiamento che rappresenta una sfida clinica sempre più rilevante, soprattutto in una popolazione che vive più a lungo. Sebbene le fasi iniziali possano spesso essere trattate efficacemente con restauri diretti minimamente invasivi, i casi più avanzati richiedono generalmente un approccio più ampio e completo. Questi piani di trattamento sono spesso articolati in più fasi e possono includere soluzioni restaurative indirette per garantire risultati predicibili e duraturi nel tempo.</w:t>
      </w:r>
    </w:p>
    <w:p w14:paraId="620C3D86" w14:textId="77777777" w:rsidR="009F7A7F" w:rsidRPr="000D5545" w:rsidRDefault="009F7A7F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</w:pPr>
    </w:p>
    <w:p w14:paraId="69BA8721" w14:textId="4E793AE1" w:rsidR="008342B2" w:rsidRPr="007157A6" w:rsidRDefault="000D5545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>
        <w:rPr>
          <w:rFonts w:ascii="Avenir Next LT Pro" w:eastAsia="Verdana" w:hAnsi="Avenir Next LT Pro" w:cs="Verdana"/>
          <w:b/>
          <w:bCs/>
          <w:color w:val="000000" w:themeColor="text1"/>
        </w:rPr>
        <w:t xml:space="preserve">Un </w:t>
      </w:r>
      <w:proofErr w:type="spellStart"/>
      <w:r>
        <w:rPr>
          <w:rFonts w:ascii="Avenir Next LT Pro" w:eastAsia="Verdana" w:hAnsi="Avenir Next LT Pro" w:cs="Verdana"/>
          <w:b/>
          <w:bCs/>
          <w:color w:val="000000" w:themeColor="text1"/>
        </w:rPr>
        <w:t>percorso</w:t>
      </w:r>
      <w:proofErr w:type="spellEnd"/>
      <w:r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>
        <w:rPr>
          <w:rFonts w:ascii="Avenir Next LT Pro" w:eastAsia="Verdana" w:hAnsi="Avenir Next LT Pro" w:cs="Verdana"/>
          <w:b/>
          <w:bCs/>
          <w:color w:val="000000" w:themeColor="text1"/>
        </w:rPr>
        <w:t>terapeutico</w:t>
      </w:r>
      <w:proofErr w:type="spellEnd"/>
      <w:r>
        <w:rPr>
          <w:rFonts w:ascii="Avenir Next LT Pro" w:eastAsia="Verdana" w:hAnsi="Avenir Next LT Pro" w:cs="Verdana"/>
          <w:b/>
          <w:bCs/>
          <w:color w:val="000000" w:themeColor="text1"/>
        </w:rPr>
        <w:t xml:space="preserve"> continuo</w:t>
      </w:r>
    </w:p>
    <w:p w14:paraId="6C49BA61" w14:textId="77777777" w:rsidR="000D5545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>Non esiste una regola rigida nella scelta tra trattamento diretto e indiretto. Molti casi vengono inizialmente affrontati con tecniche dirette; tuttavia, nelle situazioni più complesse, come quelle caratterizzate da usura severa o patologica, può essere necessario ricorrere a materiali indiretti per ripristinare funzione, durata ed estetica, soprattutto nel lungo termine.</w:t>
      </w:r>
    </w:p>
    <w:p w14:paraId="63800D94" w14:textId="77777777" w:rsidR="000D5545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>Questa campagna pone l’accento su un percorso terapeutico continuo che integra diagnosi, pianificazione digitale e strategie restaurative sia dirette sia indirette, per rispondere alle esigenze specifiche di ogni paziente.</w:t>
      </w:r>
    </w:p>
    <w:p w14:paraId="625C69BD" w14:textId="77777777" w:rsidR="009F7A7F" w:rsidRPr="000D5545" w:rsidRDefault="009F7A7F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</w:pPr>
    </w:p>
    <w:p w14:paraId="3992A564" w14:textId="77777777" w:rsidR="000D5545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lastRenderedPageBreak/>
        <w:t>A supporto del processo decisionale clinico</w:t>
      </w:r>
    </w:p>
    <w:p w14:paraId="486B926E" w14:textId="1432B0F6" w:rsidR="008342B2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>Attraverso contenuti educativi e casi clinici, la campagna si propone di aiutare i professionisti a passare con sicurezza dagli approcci diretti a quelli indiretti, mantenendo sempre una filosofia minimamente invasiva</w:t>
      </w:r>
      <w:r w:rsidR="008342B2" w:rsidRPr="000D5545">
        <w:rPr>
          <w:rFonts w:ascii="Avenir Next LT Pro" w:eastAsia="Verdana" w:hAnsi="Avenir Next LT Pro" w:cs="Verdana"/>
          <w:color w:val="000000" w:themeColor="text1"/>
          <w:lang w:val="it-IT"/>
        </w:rPr>
        <w:t>.</w:t>
      </w:r>
    </w:p>
    <w:p w14:paraId="1DA670B1" w14:textId="49310963" w:rsidR="002A3D1C" w:rsidRDefault="000D5545" w:rsidP="0045674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>Le scelte terapeutiche non riguardano la superiorità di una tecnica o di un materiale rispetto a un altro”, afferma Adriano Teixeira, Technical Training Manager dell’Educational Campus di GC. “Si tratta di comprendere l’origine del problema e selezionare il materiale e l’intervento più adatti, nel momento giusto e per il giusto scopo, avendo sempre come principio guida la conservazione della struttura dentale.</w:t>
      </w:r>
    </w:p>
    <w:p w14:paraId="7419C055" w14:textId="77777777" w:rsidR="000D5545" w:rsidRPr="000D5545" w:rsidRDefault="000D5545" w:rsidP="0045674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65130CEA" w14:textId="40A4D129" w:rsidR="0045674B" w:rsidRPr="000D5545" w:rsidRDefault="000D5545" w:rsidP="0045674B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t>Informazioni</w:t>
      </w:r>
      <w:r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t xml:space="preserve"> sulla campagna</w:t>
      </w:r>
    </w:p>
    <w:p w14:paraId="79B19421" w14:textId="77777777" w:rsidR="000D5545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>La campagna sarà lanciata attraverso diversi canali, tra cui pubblicazioni professionali, strumenti digitali, attività formative e opportunità pratiche di apprendimento.</w:t>
      </w:r>
    </w:p>
    <w:p w14:paraId="2C8CBF1C" w14:textId="77777777" w:rsidR="000D5545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>Questa iniziativa riflette il costante impegno di GC nel supportare i professionisti del settore odontoiatrico nell’offrire trattamenti predicibili e centrati sul paziente, in tutte le fasi della gestione dell’usura dentale.</w:t>
      </w:r>
    </w:p>
    <w:p w14:paraId="1FB33EC8" w14:textId="10E0ADEA" w:rsidR="008D24A9" w:rsidRPr="000D5545" w:rsidRDefault="000D5545" w:rsidP="000D554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>Per maggiori informazioni</w:t>
      </w:r>
      <w:r w:rsidR="00D836FC" w:rsidRPr="000D5545">
        <w:rPr>
          <w:rFonts w:ascii="Avenir Next LT Pro" w:eastAsia="Verdana" w:hAnsi="Avenir Next LT Pro" w:cs="Verdana"/>
          <w:color w:val="000000" w:themeColor="text1"/>
          <w:lang w:val="it-IT"/>
        </w:rPr>
        <w:t>:</w:t>
      </w:r>
      <w:r w:rsidR="008D24A9" w:rsidRPr="000D5545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hyperlink r:id="rId10" w:history="1">
        <w:r w:rsidR="008D24A9" w:rsidRPr="000D5545">
          <w:rPr>
            <w:rStyle w:val="Collegamentoipertestuale"/>
            <w:rFonts w:ascii="Avenir Next LT Pro" w:eastAsia="Verdana" w:hAnsi="Avenir Next LT Pro" w:cs="Verdana"/>
            <w:lang w:val="it-IT"/>
          </w:rPr>
          <w:t>https://campaigns-gceurope.com/wear-solutions</w:t>
        </w:r>
      </w:hyperlink>
    </w:p>
    <w:p w14:paraId="180646A0" w14:textId="4B4BED89" w:rsidR="00F303A3" w:rsidRPr="000D5545" w:rsidRDefault="00D836FC" w:rsidP="008D24A9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0D5545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</w:p>
    <w:p w14:paraId="34A9CF65" w14:textId="1A67B52A" w:rsidR="00C12E8E" w:rsidRPr="009B454D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9B454D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2FC4C36C" w:rsidR="000A485C" w:rsidRDefault="007D00B3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1" w:history="1">
        <w:r w:rsidRPr="00631D36">
          <w:rPr>
            <w:rStyle w:val="Collegamentoipertestuale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89CE18" w14:textId="77777777" w:rsidR="00A2121B" w:rsidRPr="00631D36" w:rsidRDefault="00A2121B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2AEB49FD" w14:textId="26625CAF" w:rsidR="00A5023C" w:rsidRDefault="008347C9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 w:rsidRPr="008347C9">
        <w:rPr>
          <w:rStyle w:val="Collegamentoipertestuale"/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268A7334" wp14:editId="2C152864">
            <wp:extent cx="4581525" cy="2813685"/>
            <wp:effectExtent l="0" t="0" r="9525" b="5715"/>
            <wp:docPr id="167360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005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563F" w14:textId="2067333E" w:rsidR="00A2121B" w:rsidRPr="000D5545" w:rsidRDefault="000D5545" w:rsidP="000D5545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it-IT"/>
        </w:rPr>
      </w:pPr>
      <w:r w:rsidRPr="000D5545">
        <w:rPr>
          <w:rStyle w:val="Collegamentoipertestuale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it-IT"/>
        </w:rPr>
        <w:t>Immagine della campagna. I casi complessi di usura dentale richiedono un approccio graduale e personalizzato sulle esigenze specifiche di ciascun paziente.</w:t>
      </w:r>
    </w:p>
    <w:sectPr w:rsidR="00A2121B" w:rsidRPr="000D5545" w:rsidSect="00375891">
      <w:headerReference w:type="default" r:id="rId13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611DF" w14:textId="77777777" w:rsidR="00674493" w:rsidRDefault="00674493">
      <w:r>
        <w:separator/>
      </w:r>
    </w:p>
  </w:endnote>
  <w:endnote w:type="continuationSeparator" w:id="0">
    <w:p w14:paraId="6C938CDB" w14:textId="77777777" w:rsidR="00674493" w:rsidRDefault="00674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29F1E" w14:textId="77777777" w:rsidR="00674493" w:rsidRDefault="00674493">
      <w:r>
        <w:separator/>
      </w:r>
    </w:p>
  </w:footnote>
  <w:footnote w:type="continuationSeparator" w:id="0">
    <w:p w14:paraId="38BF59DF" w14:textId="77777777" w:rsidR="00674493" w:rsidRDefault="00674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Intestazione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1641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17FE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D5545"/>
    <w:rsid w:val="000E4999"/>
    <w:rsid w:val="00102286"/>
    <w:rsid w:val="00106786"/>
    <w:rsid w:val="00107638"/>
    <w:rsid w:val="00112618"/>
    <w:rsid w:val="001157A8"/>
    <w:rsid w:val="00116E35"/>
    <w:rsid w:val="00125EB9"/>
    <w:rsid w:val="0014534A"/>
    <w:rsid w:val="0016511A"/>
    <w:rsid w:val="00166901"/>
    <w:rsid w:val="00167D45"/>
    <w:rsid w:val="00176AEF"/>
    <w:rsid w:val="001B0EA6"/>
    <w:rsid w:val="001B35D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76CD5"/>
    <w:rsid w:val="00281E40"/>
    <w:rsid w:val="00283337"/>
    <w:rsid w:val="00291EEA"/>
    <w:rsid w:val="002974A2"/>
    <w:rsid w:val="002A1F4F"/>
    <w:rsid w:val="002A3D1C"/>
    <w:rsid w:val="002A4426"/>
    <w:rsid w:val="002C389F"/>
    <w:rsid w:val="002D47E2"/>
    <w:rsid w:val="002F390A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0843"/>
    <w:rsid w:val="00366D42"/>
    <w:rsid w:val="00375891"/>
    <w:rsid w:val="00390C9F"/>
    <w:rsid w:val="003A434A"/>
    <w:rsid w:val="003A43CF"/>
    <w:rsid w:val="003B1404"/>
    <w:rsid w:val="003B1417"/>
    <w:rsid w:val="003B4C34"/>
    <w:rsid w:val="003C34C8"/>
    <w:rsid w:val="003C645C"/>
    <w:rsid w:val="003D01E9"/>
    <w:rsid w:val="003D34D0"/>
    <w:rsid w:val="003D5E25"/>
    <w:rsid w:val="003D747E"/>
    <w:rsid w:val="003F1B6F"/>
    <w:rsid w:val="003F28BA"/>
    <w:rsid w:val="00412841"/>
    <w:rsid w:val="00426EDA"/>
    <w:rsid w:val="0043690C"/>
    <w:rsid w:val="00436D5D"/>
    <w:rsid w:val="004413E2"/>
    <w:rsid w:val="00444A98"/>
    <w:rsid w:val="00453816"/>
    <w:rsid w:val="0045674B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B6241"/>
    <w:rsid w:val="004C3D5F"/>
    <w:rsid w:val="004C48D0"/>
    <w:rsid w:val="004C582E"/>
    <w:rsid w:val="004D0FBF"/>
    <w:rsid w:val="004D3B6C"/>
    <w:rsid w:val="004D6F35"/>
    <w:rsid w:val="004E2FB3"/>
    <w:rsid w:val="00502C6F"/>
    <w:rsid w:val="00505D67"/>
    <w:rsid w:val="0052480D"/>
    <w:rsid w:val="00533A3B"/>
    <w:rsid w:val="00543AEC"/>
    <w:rsid w:val="00552443"/>
    <w:rsid w:val="00553334"/>
    <w:rsid w:val="00567F3E"/>
    <w:rsid w:val="00572892"/>
    <w:rsid w:val="0058288B"/>
    <w:rsid w:val="00587CDE"/>
    <w:rsid w:val="00591E21"/>
    <w:rsid w:val="005C5EED"/>
    <w:rsid w:val="005D1861"/>
    <w:rsid w:val="005D562A"/>
    <w:rsid w:val="005D7797"/>
    <w:rsid w:val="005E7894"/>
    <w:rsid w:val="005F1CDD"/>
    <w:rsid w:val="00610AAC"/>
    <w:rsid w:val="006118F5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52E8"/>
    <w:rsid w:val="006573BC"/>
    <w:rsid w:val="00657BB0"/>
    <w:rsid w:val="0066042E"/>
    <w:rsid w:val="006616BC"/>
    <w:rsid w:val="00663B73"/>
    <w:rsid w:val="00671E66"/>
    <w:rsid w:val="00674493"/>
    <w:rsid w:val="00681CE3"/>
    <w:rsid w:val="006822E2"/>
    <w:rsid w:val="00686B6F"/>
    <w:rsid w:val="0069332E"/>
    <w:rsid w:val="006A03EF"/>
    <w:rsid w:val="006B3276"/>
    <w:rsid w:val="006C32FB"/>
    <w:rsid w:val="006C68FF"/>
    <w:rsid w:val="006D0C1F"/>
    <w:rsid w:val="006D2FB4"/>
    <w:rsid w:val="007011CE"/>
    <w:rsid w:val="0070518E"/>
    <w:rsid w:val="007157A6"/>
    <w:rsid w:val="0072441C"/>
    <w:rsid w:val="00737C03"/>
    <w:rsid w:val="007437AC"/>
    <w:rsid w:val="00775ABD"/>
    <w:rsid w:val="00776B7A"/>
    <w:rsid w:val="00776E54"/>
    <w:rsid w:val="007821B3"/>
    <w:rsid w:val="00783624"/>
    <w:rsid w:val="007847F0"/>
    <w:rsid w:val="00794E0C"/>
    <w:rsid w:val="007973C3"/>
    <w:rsid w:val="007B054F"/>
    <w:rsid w:val="007B3D19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17794"/>
    <w:rsid w:val="00821D97"/>
    <w:rsid w:val="008342B2"/>
    <w:rsid w:val="008347C9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4046"/>
    <w:rsid w:val="008A4C1F"/>
    <w:rsid w:val="008A56E8"/>
    <w:rsid w:val="008A629E"/>
    <w:rsid w:val="008A7D3D"/>
    <w:rsid w:val="008B31D4"/>
    <w:rsid w:val="008D24A9"/>
    <w:rsid w:val="008D3594"/>
    <w:rsid w:val="008D73C8"/>
    <w:rsid w:val="008E1A49"/>
    <w:rsid w:val="008F7868"/>
    <w:rsid w:val="009046DE"/>
    <w:rsid w:val="009047ED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62018"/>
    <w:rsid w:val="00977829"/>
    <w:rsid w:val="00981F33"/>
    <w:rsid w:val="00982440"/>
    <w:rsid w:val="00986AA8"/>
    <w:rsid w:val="00996681"/>
    <w:rsid w:val="00997CA1"/>
    <w:rsid w:val="009B454D"/>
    <w:rsid w:val="009C1D99"/>
    <w:rsid w:val="009D4A1F"/>
    <w:rsid w:val="009E52BD"/>
    <w:rsid w:val="009F7A7F"/>
    <w:rsid w:val="00A03D4B"/>
    <w:rsid w:val="00A2121B"/>
    <w:rsid w:val="00A304BF"/>
    <w:rsid w:val="00A310AE"/>
    <w:rsid w:val="00A4263C"/>
    <w:rsid w:val="00A46F12"/>
    <w:rsid w:val="00A5023C"/>
    <w:rsid w:val="00A61502"/>
    <w:rsid w:val="00A65A6F"/>
    <w:rsid w:val="00A67AE7"/>
    <w:rsid w:val="00A7156F"/>
    <w:rsid w:val="00A7746D"/>
    <w:rsid w:val="00A80F69"/>
    <w:rsid w:val="00A844B5"/>
    <w:rsid w:val="00AC77C3"/>
    <w:rsid w:val="00AE06AA"/>
    <w:rsid w:val="00AE709B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05012"/>
    <w:rsid w:val="00C12E8E"/>
    <w:rsid w:val="00C168DB"/>
    <w:rsid w:val="00C2221D"/>
    <w:rsid w:val="00C31577"/>
    <w:rsid w:val="00C436B7"/>
    <w:rsid w:val="00C43F6C"/>
    <w:rsid w:val="00C60B64"/>
    <w:rsid w:val="00CA4627"/>
    <w:rsid w:val="00CA5DBB"/>
    <w:rsid w:val="00CC6660"/>
    <w:rsid w:val="00CD0F90"/>
    <w:rsid w:val="00D01FED"/>
    <w:rsid w:val="00D055EB"/>
    <w:rsid w:val="00D16301"/>
    <w:rsid w:val="00D21359"/>
    <w:rsid w:val="00D33936"/>
    <w:rsid w:val="00D53FA7"/>
    <w:rsid w:val="00D55083"/>
    <w:rsid w:val="00D64144"/>
    <w:rsid w:val="00D75E90"/>
    <w:rsid w:val="00D836FC"/>
    <w:rsid w:val="00DB49ED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0DDF"/>
    <w:rsid w:val="00E97DFF"/>
    <w:rsid w:val="00EA4468"/>
    <w:rsid w:val="00EA4C38"/>
    <w:rsid w:val="00ED2B9D"/>
    <w:rsid w:val="00ED59B2"/>
    <w:rsid w:val="00ED6B4F"/>
    <w:rsid w:val="00EE790F"/>
    <w:rsid w:val="00F23933"/>
    <w:rsid w:val="00F303A3"/>
    <w:rsid w:val="00F5342D"/>
    <w:rsid w:val="00F966A1"/>
    <w:rsid w:val="00FB5078"/>
    <w:rsid w:val="00FD15CA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essunaspaziatura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e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Testocommento">
    <w:name w:val="annotation text"/>
    <w:basedOn w:val="Normale"/>
    <w:link w:val="TestocommentoCarattere"/>
    <w:uiPriority w:val="99"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cs="Arial Unicode MS"/>
      <w:color w:val="000000"/>
      <w:u w:color="00000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784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e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Paragrafoelenco">
    <w:name w:val="List Paragraph"/>
    <w:basedOn w:val="Normale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.gce@gc.denta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ampaigns-gceurope.com/wear-soluti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1d4babcee2df5f1dc224969e712411c4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eed3f0dc932611f649e3cb04a660987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2EE093A7-C45F-423E-BA5C-72293E9F4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2622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Masotina, Valeria</cp:lastModifiedBy>
  <cp:revision>3</cp:revision>
  <cp:lastPrinted>2020-01-21T15:04:00Z</cp:lastPrinted>
  <dcterms:created xsi:type="dcterms:W3CDTF">2026-07-03T14:13:00Z</dcterms:created>
  <dcterms:modified xsi:type="dcterms:W3CDTF">2026-07-06T14:42:00Z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