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AC9D664" w14:textId="77777777" w:rsidR="003A66A6" w:rsidRDefault="003A66A6" w:rsidP="003A66A6">
      <w:pPr>
        <w:spacing w:line="360" w:lineRule="auto"/>
        <w:ind w:left="-990" w:right="-868"/>
        <w:rPr>
          <w:rFonts w:ascii="Avenir Next LT Pro" w:eastAsia="Verdana" w:hAnsi="Avenir Next LT Pro" w:cs="Verdana"/>
          <w:b/>
          <w:bCs/>
          <w:color w:val="000000" w:themeColor="text1"/>
          <w:sz w:val="30"/>
          <w:szCs w:val="30"/>
        </w:rPr>
      </w:pPr>
      <w:r w:rsidRPr="00B419E2">
        <w:rPr>
          <w:rFonts w:ascii="Avenir Next LT Pro" w:hAnsi="Avenir Next LT Pro"/>
          <w:b/>
          <w:noProof/>
          <w:color w:val="000000" w:themeColor="text1"/>
          <w:sz w:val="30"/>
        </w:rPr>
        <mc:AlternateContent>
          <mc:Choice Requires="wps">
            <w:drawing>
              <wp:anchor distT="0" distB="0" distL="114300" distR="114300" simplePos="0" relativeHeight="251660288" behindDoc="0" locked="0" layoutInCell="1" allowOverlap="1" wp14:anchorId="659DD91F" wp14:editId="739F6D6C">
                <wp:simplePos x="0" y="0"/>
                <wp:positionH relativeFrom="page">
                  <wp:posOffset>-118375</wp:posOffset>
                </wp:positionH>
                <wp:positionV relativeFrom="paragraph">
                  <wp:posOffset>18433</wp:posOffset>
                </wp:positionV>
                <wp:extent cx="216172" cy="230332"/>
                <wp:effectExtent l="0" t="0" r="0" b="0"/>
                <wp:wrapNone/>
                <wp:docPr id="1247932084" name="Rectangle 21"/>
                <wp:cNvGraphicFramePr/>
                <a:graphic xmlns:a="http://schemas.openxmlformats.org/drawingml/2006/main">
                  <a:graphicData uri="http://schemas.microsoft.com/office/word/2010/wordprocessingShape">
                    <wps:wsp>
                      <wps:cNvSpPr/>
                      <wps:spPr>
                        <a:xfrm>
                          <a:off x="0" y="0"/>
                          <a:ext cx="216172" cy="230332"/>
                        </a:xfrm>
                        <a:prstGeom prst="rect">
                          <a:avLst/>
                        </a:prstGeom>
                        <a:solidFill>
                          <a:srgbClr val="009B77"/>
                        </a:solidFill>
                        <a:ln w="25400" cap="flat">
                          <a:noFill/>
                          <a:prstDash val="solid"/>
                          <a:round/>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CCDF6E" id="Rectangle 21" o:spid="_x0000_s1026" style="position:absolute;margin-left:-9.3pt;margin-top:1.45pt;width:17pt;height:18.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" fillcolor="#009b77" stroked="f" strokeweight="2pt">
                <v:stroke joinstyle="round"/>
                <v:textbox inset="1.2699mm,1.2699mm,1.2699mm,1.2699mm"/>
                <w10:wrap anchorx="page"/>
              </v:rect>
            </w:pict>
          </mc:Fallback>
        </mc:AlternateContent>
      </w:r>
      <w:r w:rsidRPr="00B85B6A">
        <w:rPr>
          <w:rFonts w:ascii="Avenir Next LT Pro" w:hAnsi="Avenir Next LT Pro"/>
          <w:b/>
          <w:color w:val="000000" w:themeColor="text1"/>
          <w:sz w:val="30"/>
        </w:rPr>
        <w:t>Pressemitteilung</w:t>
      </w:r>
    </w:p>
    <w:p w14:paraId="578E33C8" w14:textId="77777777" w:rsidR="003A66A6" w:rsidRDefault="003A66A6" w:rsidP="003A66A6">
      <w:pPr>
        <w:spacing w:line="360" w:lineRule="auto"/>
        <w:ind w:left="-990" w:right="-868"/>
        <w:rPr>
          <w:rFonts w:ascii="Avenir Next LT Pro" w:eastAsia="Verdana" w:hAnsi="Avenir Next LT Pro" w:cs="Verdana"/>
          <w:b/>
          <w:bCs/>
          <w:color w:val="000000" w:themeColor="text1"/>
          <w:sz w:val="30"/>
          <w:szCs w:val="30"/>
        </w:rPr>
      </w:pPr>
    </w:p>
    <w:p w14:paraId="0C69B5D1" w14:textId="72280AA5" w:rsidR="00270FCD" w:rsidRDefault="005E4F35" w:rsidP="004E2FB3">
      <w:pPr>
        <w:spacing w:line="360" w:lineRule="auto"/>
        <w:ind w:left="-990" w:right="-868"/>
        <w:jc w:val="both"/>
        <w:rPr>
          <w:rFonts w:ascii="Avenir Next LT Pro" w:hAnsi="Avenir Next LT Pro"/>
          <w:b/>
          <w:bCs/>
          <w:color w:val="000000" w:themeColor="text1"/>
          <w:sz w:val="30"/>
          <w:szCs w:val="30"/>
        </w:rPr>
      </w:pPr>
      <w:r w:rsidRPr="005E4F35">
        <w:rPr>
          <w:rFonts w:ascii="Avenir Next LT Pro" w:hAnsi="Avenir Next LT Pro"/>
          <w:b/>
          <w:bCs/>
          <w:color w:val="000000" w:themeColor="text1"/>
          <w:sz w:val="30"/>
          <w:szCs w:val="30"/>
        </w:rPr>
        <w:t>Innovative Materialien und Workflows im Fokus des GC International Dental Symposiums</w:t>
      </w:r>
    </w:p>
    <w:p w14:paraId="5F91EEB8" w14:textId="77777777" w:rsidR="005E4F35" w:rsidRPr="004C2F7F" w:rsidRDefault="005E4F35" w:rsidP="004E2FB3">
      <w:pPr>
        <w:spacing w:line="360" w:lineRule="auto"/>
        <w:ind w:left="-990" w:right="-868"/>
        <w:jc w:val="both"/>
        <w:rPr>
          <w:rFonts w:ascii="Avenir Next LT Pro" w:eastAsia="Verdana" w:hAnsi="Avenir Next LT Pro" w:cs="Verdana"/>
          <w:color w:val="000000" w:themeColor="text1"/>
        </w:rPr>
      </w:pPr>
    </w:p>
    <w:p w14:paraId="4E890FDA" w14:textId="77777777" w:rsidR="00EE3392" w:rsidRPr="00EE3392" w:rsidRDefault="00EE3392" w:rsidP="00EE3392">
      <w:pPr>
        <w:spacing w:line="360" w:lineRule="auto"/>
        <w:ind w:left="-990" w:right="-868"/>
        <w:rPr>
          <w:rFonts w:ascii="Avenir Next LT Pro" w:eastAsia="Verdana" w:hAnsi="Avenir Next LT Pro" w:cs="Verdana"/>
          <w:color w:val="000000" w:themeColor="text1"/>
        </w:rPr>
      </w:pPr>
      <w:r w:rsidRPr="00EE3392">
        <w:rPr>
          <w:rFonts w:ascii="Avenir Next LT Pro" w:eastAsia="Verdana" w:hAnsi="Avenir Next LT Pro" w:cs="Verdana"/>
          <w:color w:val="000000" w:themeColor="text1"/>
        </w:rPr>
        <w:t>TOKIO, Japan: Wenn in der Zahnmedizin über Innovation gesprochen wird, stehen häufig neue Produkte im Mittelpunkt. Ihre klinische Bedeutung zeigt sich jedoch vor allem darin, wie Materialien und Technologien die Entscheidungsfindung am Behandlungsstuhl, im Labor und innerhalb des gesamten zahnmedizinischen Teams verändern. Beim sechsten GC International Dental Symposium, das am 3. und 4. Oktober im Tokyo International Forum stattfindet, beleuchten zahlreiche Vorträge, wie Biomaterialien, digitale Workflows und neue restaurative Technologien die Behandlungsplanung und klinische Ergebnisse weiterentwickeln.</w:t>
      </w:r>
    </w:p>
    <w:p w14:paraId="63A97043" w14:textId="77D5969B" w:rsidR="004434E4" w:rsidRDefault="00EE3392" w:rsidP="00EE3392">
      <w:pPr>
        <w:spacing w:line="360" w:lineRule="auto"/>
        <w:ind w:left="-990" w:right="-868"/>
        <w:rPr>
          <w:rFonts w:ascii="Avenir Next LT Pro" w:eastAsia="Verdana" w:hAnsi="Avenir Next LT Pro" w:cs="Verdana"/>
          <w:color w:val="000000" w:themeColor="text1"/>
        </w:rPr>
      </w:pPr>
      <w:r w:rsidRPr="00EE3392">
        <w:rPr>
          <w:rFonts w:ascii="Avenir Next LT Pro" w:eastAsia="Verdana" w:hAnsi="Avenir Next LT Pro" w:cs="Verdana"/>
          <w:color w:val="000000" w:themeColor="text1"/>
        </w:rPr>
        <w:t xml:space="preserve">Das von der GC Corporation organisierte Symposium bringt zahnmedizinische Fachkräfte aus aller Welt zu einem zweitägigen wissenschaftlichen und praxisorientierten Programm zusammen und ist Teil der umfassenden </w:t>
      </w:r>
      <w:r w:rsidR="006C49FA">
        <w:rPr>
          <w:rFonts w:ascii="Avenir Next LT Pro" w:eastAsia="Verdana" w:hAnsi="Avenir Next LT Pro" w:cs="Verdana"/>
          <w:color w:val="000000" w:themeColor="text1"/>
        </w:rPr>
        <w:t>„</w:t>
      </w:r>
      <w:r w:rsidRPr="00F4351E">
        <w:rPr>
          <w:rFonts w:ascii="Avenir Next LT Pro" w:eastAsia="Verdana" w:hAnsi="Avenir Next LT Pro" w:cs="Verdana"/>
          <w:b/>
          <w:bCs/>
          <w:color w:val="000000" w:themeColor="text1"/>
        </w:rPr>
        <w:t>One Week of Excellence</w:t>
      </w:r>
      <w:r w:rsidR="006C49FA">
        <w:rPr>
          <w:rFonts w:ascii="Avenir Next LT Pro" w:eastAsia="Verdana" w:hAnsi="Avenir Next LT Pro" w:cs="Verdana"/>
          <w:color w:val="000000" w:themeColor="text1"/>
        </w:rPr>
        <w:t>“</w:t>
      </w:r>
      <w:r w:rsidRPr="006C49FA">
        <w:rPr>
          <w:rFonts w:ascii="Avenir Next LT Pro" w:eastAsia="Verdana" w:hAnsi="Avenir Next LT Pro" w:cs="Verdana"/>
          <w:color w:val="000000" w:themeColor="text1"/>
        </w:rPr>
        <w:t xml:space="preserve"> von GC. Vorträge zu Materialwissenschaft und digitaler </w:t>
      </w:r>
      <w:r w:rsidRPr="00EE3392">
        <w:rPr>
          <w:rFonts w:ascii="Avenir Next LT Pro" w:eastAsia="Verdana" w:hAnsi="Avenir Next LT Pro" w:cs="Verdana"/>
          <w:color w:val="000000" w:themeColor="text1"/>
        </w:rPr>
        <w:t>Zahnmedizin greifen einige der derzeit klinisch relevantesten Fragestellungen auf. Dazu zählen unter anderem die zunehmende Vereinfachung und Zuverlässigkeit moderner Adhäsivsysteme sowie die Frage, wie verstärkte restaurative Strukturen die Möglichkeiten direkter Versorgungen erweitern können.</w:t>
      </w:r>
    </w:p>
    <w:p w14:paraId="499B5B31" w14:textId="77777777" w:rsidR="00F4351E" w:rsidRDefault="00F4351E" w:rsidP="00EE3392">
      <w:pPr>
        <w:spacing w:line="360" w:lineRule="auto"/>
        <w:ind w:left="-990" w:right="-868"/>
        <w:rPr>
          <w:rFonts w:ascii="Avenir Next LT Pro" w:eastAsia="Verdana" w:hAnsi="Avenir Next LT Pro" w:cs="Verdana"/>
          <w:color w:val="000000" w:themeColor="text1"/>
        </w:rPr>
      </w:pPr>
    </w:p>
    <w:p w14:paraId="5E6DC6FA" w14:textId="2B398618" w:rsidR="006C49FA" w:rsidRDefault="00192C77" w:rsidP="00EE3392">
      <w:pPr>
        <w:spacing w:line="360" w:lineRule="auto"/>
        <w:ind w:left="-990" w:right="-868"/>
        <w:rPr>
          <w:rFonts w:ascii="Avenir Next LT Pro" w:eastAsia="Verdana" w:hAnsi="Avenir Next LT Pro" w:cs="Verdana"/>
          <w:b/>
          <w:bCs/>
          <w:color w:val="000000" w:themeColor="text1"/>
          <w:sz w:val="28"/>
          <w:szCs w:val="28"/>
        </w:rPr>
      </w:pPr>
      <w:r w:rsidRPr="00EF7B05">
        <w:rPr>
          <w:rFonts w:ascii="Avenir Next LT Pro" w:eastAsia="Verdana" w:hAnsi="Avenir Next LT Pro" w:cs="Verdana"/>
          <w:b/>
          <w:bCs/>
          <w:color w:val="000000" w:themeColor="text1"/>
          <w:sz w:val="28"/>
          <w:szCs w:val="28"/>
        </w:rPr>
        <w:t>Adhäsivsysteme der nächsten Generation</w:t>
      </w:r>
    </w:p>
    <w:p w14:paraId="15B67730" w14:textId="77777777" w:rsidR="006158A3" w:rsidRPr="006158A3" w:rsidRDefault="006158A3" w:rsidP="00EE3392">
      <w:pPr>
        <w:spacing w:line="360" w:lineRule="auto"/>
        <w:ind w:left="-990" w:right="-868"/>
        <w:rPr>
          <w:rFonts w:ascii="Avenir Next LT Pro" w:eastAsia="Verdana" w:hAnsi="Avenir Next LT Pro" w:cs="Verdana"/>
          <w:color w:val="000000" w:themeColor="text1"/>
          <w:sz w:val="20"/>
          <w:szCs w:val="20"/>
        </w:rPr>
      </w:pPr>
    </w:p>
    <w:p w14:paraId="4ED226CA" w14:textId="4A521894" w:rsidR="00192C77" w:rsidRPr="00192C77" w:rsidRDefault="00192C77" w:rsidP="00192C77">
      <w:pPr>
        <w:spacing w:line="360" w:lineRule="auto"/>
        <w:ind w:left="-990" w:right="-868"/>
        <w:rPr>
          <w:rFonts w:ascii="Avenir Next LT Pro" w:eastAsia="Verdana" w:hAnsi="Avenir Next LT Pro" w:cs="Verdana"/>
          <w:color w:val="000000" w:themeColor="text1"/>
        </w:rPr>
      </w:pPr>
      <w:r w:rsidRPr="00192C77">
        <w:rPr>
          <w:rFonts w:ascii="Avenir Next LT Pro" w:eastAsia="Verdana" w:hAnsi="Avenir Next LT Pro" w:cs="Verdana"/>
          <w:color w:val="000000" w:themeColor="text1"/>
        </w:rPr>
        <w:t xml:space="preserve">In der Session </w:t>
      </w:r>
      <w:r w:rsidRPr="00192C77">
        <w:rPr>
          <w:rFonts w:ascii="Avenir Next LT Pro" w:eastAsia="Verdana" w:hAnsi="Avenir Next LT Pro" w:cs="Verdana"/>
          <w:b/>
          <w:bCs/>
          <w:color w:val="000000" w:themeColor="text1"/>
        </w:rPr>
        <w:t>„Adhäsivsysteme der nächsten Generation für direkte und indirekte Restaurationen“</w:t>
      </w:r>
      <w:r w:rsidRPr="00192C77">
        <w:rPr>
          <w:rFonts w:ascii="Avenir Next LT Pro" w:eastAsia="Verdana" w:hAnsi="Avenir Next LT Pro" w:cs="Verdana"/>
          <w:color w:val="000000" w:themeColor="text1"/>
        </w:rPr>
        <w:t xml:space="preserve"> widmen sich Prof. Bart Van Meerbeek, Prof. Roland </w:t>
      </w:r>
      <w:r w:rsidRPr="00192C77">
        <w:rPr>
          <w:rFonts w:ascii="Avenir Next LT Pro" w:eastAsia="Verdana" w:hAnsi="Avenir Next LT Pro" w:cs="Verdana"/>
          <w:color w:val="000000" w:themeColor="text1"/>
        </w:rPr>
        <w:lastRenderedPageBreak/>
        <w:t>Frankenberger und Dr. Toshiki Takamizawa einem der zentralen Themen der restaurativen Zahnmedizin: dem zuverlässigen adhäsiven Verbund.</w:t>
      </w:r>
    </w:p>
    <w:p w14:paraId="6F26EA26" w14:textId="77777777" w:rsidR="00192C77" w:rsidRPr="00192C77" w:rsidRDefault="00192C77" w:rsidP="00192C77">
      <w:pPr>
        <w:spacing w:line="360" w:lineRule="auto"/>
        <w:ind w:left="-990" w:right="-868"/>
        <w:rPr>
          <w:rFonts w:ascii="Avenir Next LT Pro" w:eastAsia="Verdana" w:hAnsi="Avenir Next LT Pro" w:cs="Verdana"/>
          <w:color w:val="000000" w:themeColor="text1"/>
        </w:rPr>
      </w:pPr>
      <w:r w:rsidRPr="00192C77">
        <w:rPr>
          <w:rFonts w:ascii="Avenir Next LT Pro" w:eastAsia="Verdana" w:hAnsi="Avenir Next LT Pro" w:cs="Verdana"/>
          <w:color w:val="000000" w:themeColor="text1"/>
        </w:rPr>
        <w:t>Im Gespräch mit Dental Tribune International ordnet Prof. Frankenberger die nächste Generation dentaler Adhäsivsysteme vor dem Hintergrund von drei Jahrzehnten intensiver Weiterentwicklung ein. Seit 32 Jahren beschäftigt er sich präklinisch und klinisch mit Adhäsiven und Kompositen. Die lange Zeit verbreitete Annahme, dass mehrstufige Adhäsivsysteme grundsätzlich als Goldstandard gelten, entspricht seiner Einschätzung nach nicht mehr der heutigen klinischen Realität.</w:t>
      </w:r>
    </w:p>
    <w:p w14:paraId="42F19AAE" w14:textId="77777777" w:rsidR="00192C77" w:rsidRPr="00192C77" w:rsidRDefault="00192C77" w:rsidP="00192C77">
      <w:pPr>
        <w:spacing w:line="360" w:lineRule="auto"/>
        <w:ind w:left="-990" w:right="-868"/>
        <w:rPr>
          <w:rFonts w:ascii="Avenir Next LT Pro" w:eastAsia="Verdana" w:hAnsi="Avenir Next LT Pro" w:cs="Verdana"/>
          <w:color w:val="000000" w:themeColor="text1"/>
        </w:rPr>
      </w:pPr>
      <w:r w:rsidRPr="00192C77">
        <w:rPr>
          <w:rFonts w:ascii="Avenir Next LT Pro" w:eastAsia="Verdana" w:hAnsi="Avenir Next LT Pro" w:cs="Verdana"/>
          <w:color w:val="000000" w:themeColor="text1"/>
        </w:rPr>
        <w:t>„Universaladhäsive sind früheren Generationen überlegen, insbesondere bei indirekten Restaurationen“, erklärt Prof. Frankenberger. Diese Entwicklung bietet konkrete Vorteile für den Praxisalltag. Kürzere Applikationszeiten können das Risiko einer Kontamination während der Anwendung reduzieren, während vereinfachte Protokolle dazu beitragen können, adhäsive Verfahren effizienter und sicherer umzusetzen.</w:t>
      </w:r>
    </w:p>
    <w:p w14:paraId="49C7EE2F" w14:textId="77777777" w:rsidR="00192C77" w:rsidRPr="00192C77" w:rsidRDefault="00192C77" w:rsidP="00192C77">
      <w:pPr>
        <w:spacing w:line="360" w:lineRule="auto"/>
        <w:ind w:left="-990" w:right="-868"/>
        <w:rPr>
          <w:rFonts w:ascii="Avenir Next LT Pro" w:eastAsia="Verdana" w:hAnsi="Avenir Next LT Pro" w:cs="Verdana"/>
          <w:color w:val="000000" w:themeColor="text1"/>
        </w:rPr>
      </w:pPr>
      <w:r w:rsidRPr="00192C77">
        <w:rPr>
          <w:rFonts w:ascii="Avenir Next LT Pro" w:eastAsia="Verdana" w:hAnsi="Avenir Next LT Pro" w:cs="Verdana"/>
          <w:color w:val="000000" w:themeColor="text1"/>
        </w:rPr>
        <w:t>Für Prof. Frankenberger liegt ein wesentlicher Fortschritt der kommenden Jahre jedoch weniger in immer höheren Spitzenleistungen als vielmehr in der Robustheit und Anwendungstoleranz der Systeme. „Jeder weiß, wie anspruchsvoll adhäsives Arbeiten unter klinischen Bedingungen sein kann. Deshalb sind sowohl eine hohe Feuchtigkeitstoleranz als auch eine möglichst geringe Abhängigkeit von Unterschieden bei der Anwendung entscheidend. Wenn es beispielsweise kaum noch eine Rolle spielt, wie intensiv ein Adhäsiv verblasen oder getrocknet wird, ist das ein bedeutender Fortschritt.“</w:t>
      </w:r>
    </w:p>
    <w:p w14:paraId="16096D46" w14:textId="77777777" w:rsidR="00192C77" w:rsidRPr="00192C77" w:rsidRDefault="00192C77" w:rsidP="00192C77">
      <w:pPr>
        <w:spacing w:line="360" w:lineRule="auto"/>
        <w:ind w:left="-990" w:right="-868"/>
        <w:rPr>
          <w:rFonts w:ascii="Avenir Next LT Pro" w:eastAsia="Verdana" w:hAnsi="Avenir Next LT Pro" w:cs="Verdana"/>
          <w:color w:val="000000" w:themeColor="text1"/>
        </w:rPr>
      </w:pPr>
      <w:r w:rsidRPr="00192C77">
        <w:rPr>
          <w:rFonts w:ascii="Avenir Next LT Pro" w:eastAsia="Verdana" w:hAnsi="Avenir Next LT Pro" w:cs="Verdana"/>
          <w:color w:val="000000" w:themeColor="text1"/>
        </w:rPr>
        <w:t xml:space="preserve">Entscheidend bleibt für ihn dennoch die langfristige klinische Bewährung. Dieser Blick auf Langzeitergebnisse prägt seine Forschung insbesondere beim Ermüdungsverhalten adhäsiver Verbindungen und bei der klinischen Entwicklung moderner Bondingsysteme. „Im Internet sieht man zahlreiche beeindruckende </w:t>
      </w:r>
      <w:r w:rsidRPr="00192C77">
        <w:rPr>
          <w:rFonts w:ascii="Avenir Next LT Pro" w:eastAsia="Verdana" w:hAnsi="Avenir Next LT Pro" w:cs="Verdana"/>
          <w:color w:val="000000" w:themeColor="text1"/>
        </w:rPr>
        <w:lastRenderedPageBreak/>
        <w:t>ästhetische Ergebnisse unmittelbar nach der Behandlung. Mein Fokus liegt jedoch ebenso auf der langfristigen Beobachtung“, betont er.</w:t>
      </w:r>
    </w:p>
    <w:p w14:paraId="02B1D500" w14:textId="77777777" w:rsidR="00192C77" w:rsidRPr="00192C77" w:rsidRDefault="00192C77" w:rsidP="00192C77">
      <w:pPr>
        <w:spacing w:line="360" w:lineRule="auto"/>
        <w:ind w:left="-990" w:right="-868"/>
        <w:rPr>
          <w:rFonts w:ascii="Avenir Next LT Pro" w:eastAsia="Verdana" w:hAnsi="Avenir Next LT Pro" w:cs="Verdana"/>
          <w:color w:val="000000" w:themeColor="text1"/>
        </w:rPr>
      </w:pPr>
      <w:r w:rsidRPr="00192C77">
        <w:rPr>
          <w:rFonts w:ascii="Avenir Next LT Pro" w:eastAsia="Verdana" w:hAnsi="Avenir Next LT Pro" w:cs="Verdana"/>
          <w:color w:val="000000" w:themeColor="text1"/>
        </w:rPr>
        <w:t>Gleichzeitig profitieren heutige Adhäsivsysteme von deutlichen Fortschritten bei Kompositmaterialien. Moderne Komposite entwickeln wesentlich geringere Schrumpfungskräfte als Materialien früherer Generationen und reduzieren damit die Belastung des adhäsiven Verbundes. „Im Vergleich zu meiner Studienzeit schrumpfen Komposite heute um 50 % weniger. Das ist eine enorme Verbesserung“, so Prof. Frankenberger. Die Kombination aus geringerer Schrumpfung und zuverlässiger Adhäsion trägt dazu bei, die heute beobachteten guten Langzeitergebnisse zu erklären.</w:t>
      </w:r>
    </w:p>
    <w:p w14:paraId="75AA6E4F" w14:textId="77777777" w:rsidR="00192C77" w:rsidRDefault="00192C77" w:rsidP="007D7BF6">
      <w:pPr>
        <w:spacing w:line="360" w:lineRule="auto"/>
        <w:ind w:left="-990" w:right="-868"/>
        <w:rPr>
          <w:rFonts w:ascii="Avenir Next LT Pro" w:eastAsia="Verdana" w:hAnsi="Avenir Next LT Pro" w:cs="Verdana"/>
          <w:color w:val="000000" w:themeColor="text1"/>
        </w:rPr>
      </w:pPr>
    </w:p>
    <w:p w14:paraId="5C89D344" w14:textId="1E986BDC" w:rsidR="00192C77" w:rsidRDefault="00EF7B05" w:rsidP="007D7BF6">
      <w:pPr>
        <w:spacing w:line="360" w:lineRule="auto"/>
        <w:ind w:left="-990" w:right="-868"/>
        <w:rPr>
          <w:rFonts w:ascii="Avenir Next LT Pro" w:eastAsia="Verdana" w:hAnsi="Avenir Next LT Pro" w:cs="Verdana"/>
          <w:b/>
          <w:bCs/>
          <w:color w:val="000000" w:themeColor="text1"/>
          <w:sz w:val="28"/>
          <w:szCs w:val="28"/>
        </w:rPr>
      </w:pPr>
      <w:r w:rsidRPr="00EF7B05">
        <w:rPr>
          <w:rFonts w:ascii="Avenir Next LT Pro" w:eastAsia="Verdana" w:hAnsi="Avenir Next LT Pro" w:cs="Verdana"/>
          <w:b/>
          <w:bCs/>
          <w:color w:val="000000" w:themeColor="text1"/>
          <w:sz w:val="28"/>
          <w:szCs w:val="28"/>
        </w:rPr>
        <w:t>Neue Materialkonzepte erweitern die Möglichkeiten</w:t>
      </w:r>
    </w:p>
    <w:p w14:paraId="74653761" w14:textId="77777777" w:rsidR="006158A3" w:rsidRPr="006158A3" w:rsidRDefault="006158A3" w:rsidP="007D7BF6">
      <w:pPr>
        <w:spacing w:line="360" w:lineRule="auto"/>
        <w:ind w:left="-990" w:right="-868"/>
        <w:rPr>
          <w:rFonts w:ascii="Avenir Next LT Pro" w:eastAsia="Verdana" w:hAnsi="Avenir Next LT Pro" w:cs="Verdana"/>
          <w:color w:val="000000" w:themeColor="text1"/>
          <w:sz w:val="20"/>
          <w:szCs w:val="20"/>
        </w:rPr>
      </w:pPr>
    </w:p>
    <w:p w14:paraId="5BE86F2B" w14:textId="77777777" w:rsidR="00A425A2" w:rsidRPr="00A425A2" w:rsidRDefault="00A425A2" w:rsidP="00A425A2">
      <w:pPr>
        <w:spacing w:line="360" w:lineRule="auto"/>
        <w:ind w:left="-990" w:right="-868"/>
        <w:rPr>
          <w:rFonts w:ascii="Avenir Next LT Pro" w:eastAsia="Verdana" w:hAnsi="Avenir Next LT Pro" w:cs="Verdana"/>
          <w:color w:val="000000" w:themeColor="text1"/>
        </w:rPr>
      </w:pPr>
      <w:r w:rsidRPr="00A425A2">
        <w:rPr>
          <w:rFonts w:ascii="Avenir Next LT Pro" w:eastAsia="Verdana" w:hAnsi="Avenir Next LT Pro" w:cs="Verdana"/>
          <w:color w:val="000000" w:themeColor="text1"/>
        </w:rPr>
        <w:t xml:space="preserve">Neue Entwicklungen bei Dentalmaterialien stehen auch im Mittelpunkt der Session </w:t>
      </w:r>
      <w:r w:rsidRPr="00A425A2">
        <w:rPr>
          <w:rFonts w:ascii="Avenir Next LT Pro" w:eastAsia="Verdana" w:hAnsi="Avenir Next LT Pro" w:cs="Verdana"/>
          <w:b/>
          <w:bCs/>
          <w:color w:val="000000" w:themeColor="text1"/>
        </w:rPr>
        <w:t>„Zukunft dentaler Materialien: von bioaktiver Intelligenz über verstärkte Strukturen bis zu modernen Technologien“</w:t>
      </w:r>
      <w:r w:rsidRPr="00A425A2">
        <w:rPr>
          <w:rFonts w:ascii="Avenir Next LT Pro" w:eastAsia="Verdana" w:hAnsi="Avenir Next LT Pro" w:cs="Verdana"/>
          <w:color w:val="000000" w:themeColor="text1"/>
        </w:rPr>
        <w:t>. Zu den Referenten zählen Prof. Ricardo Carvalho, Prof. Pekka Vallittu, Prof. Satoshi Imazato und Dr. James Tsoi.</w:t>
      </w:r>
    </w:p>
    <w:p w14:paraId="7EFDA5A6" w14:textId="77777777" w:rsidR="00A425A2" w:rsidRPr="00A425A2" w:rsidRDefault="00A425A2" w:rsidP="00A425A2">
      <w:pPr>
        <w:spacing w:line="360" w:lineRule="auto"/>
        <w:ind w:left="-990" w:right="-868"/>
        <w:rPr>
          <w:rFonts w:ascii="Avenir Next LT Pro" w:eastAsia="Verdana" w:hAnsi="Avenir Next LT Pro" w:cs="Verdana"/>
          <w:color w:val="000000" w:themeColor="text1"/>
        </w:rPr>
      </w:pPr>
      <w:r w:rsidRPr="00A425A2">
        <w:rPr>
          <w:rFonts w:ascii="Avenir Next LT Pro" w:eastAsia="Verdana" w:hAnsi="Avenir Next LT Pro" w:cs="Verdana"/>
          <w:color w:val="000000" w:themeColor="text1"/>
        </w:rPr>
        <w:t>Prof. Vallittu beschäftigt sich dabei insbesondere mit Faserverstärkungen und der Frage, wie verstärkte Kompositstrukturen restaurative Entscheidungen verändern können.</w:t>
      </w:r>
    </w:p>
    <w:p w14:paraId="63C8DA1F" w14:textId="77777777" w:rsidR="00A425A2" w:rsidRPr="00A425A2" w:rsidRDefault="00A425A2" w:rsidP="00A425A2">
      <w:pPr>
        <w:spacing w:line="360" w:lineRule="auto"/>
        <w:ind w:left="-990" w:right="-868"/>
        <w:rPr>
          <w:rFonts w:ascii="Avenir Next LT Pro" w:eastAsia="Verdana" w:hAnsi="Avenir Next LT Pro" w:cs="Verdana"/>
          <w:color w:val="000000" w:themeColor="text1"/>
        </w:rPr>
      </w:pPr>
      <w:r w:rsidRPr="00A425A2">
        <w:rPr>
          <w:rFonts w:ascii="Avenir Next LT Pro" w:eastAsia="Verdana" w:hAnsi="Avenir Next LT Pro" w:cs="Verdana"/>
          <w:color w:val="000000" w:themeColor="text1"/>
        </w:rPr>
        <w:t>Gegenüber Dental Tribune International erläutert er, dass faserverstärkte restaurative Konzepte auf der verstärkenden Wirkung von Glasfasern basieren und nicht ausschließlich auf partikulären Füllstoffen. Dies ist insbesondere bei großflächigen direkten Kompositrestaurationen sowie bei der direkten Versorgung endodontisch behandelter Zähne relevant.</w:t>
      </w:r>
    </w:p>
    <w:p w14:paraId="2B64CB2D" w14:textId="75757472" w:rsidR="00A425A2" w:rsidRPr="00A425A2" w:rsidRDefault="00A425A2" w:rsidP="00A425A2">
      <w:pPr>
        <w:spacing w:line="360" w:lineRule="auto"/>
        <w:ind w:left="-990" w:right="-868"/>
        <w:rPr>
          <w:rFonts w:ascii="Avenir Next LT Pro" w:eastAsia="Verdana" w:hAnsi="Avenir Next LT Pro" w:cs="Verdana"/>
          <w:color w:val="000000" w:themeColor="text1"/>
        </w:rPr>
      </w:pPr>
      <w:r w:rsidRPr="00A425A2">
        <w:rPr>
          <w:rFonts w:ascii="Avenir Next LT Pro" w:eastAsia="Verdana" w:hAnsi="Avenir Next LT Pro" w:cs="Verdana"/>
          <w:color w:val="000000" w:themeColor="text1"/>
        </w:rPr>
        <w:t xml:space="preserve">Wird die Öffnung des Wurzelkanals mit einem faserverstärkten Komposit gefüllt, kann laut Prof. Vallittu „ein hoch belastbarer Endocore für die </w:t>
      </w:r>
      <w:r w:rsidRPr="00A425A2">
        <w:rPr>
          <w:rFonts w:ascii="Avenir Next LT Pro" w:eastAsia="Verdana" w:hAnsi="Avenir Next LT Pro" w:cs="Verdana"/>
          <w:color w:val="000000" w:themeColor="text1"/>
        </w:rPr>
        <w:lastRenderedPageBreak/>
        <w:t>Kompositkrone“ geschaffen werden. Auf diese Weise entsteht ein Konzept, das er als „direktes Endokronen</w:t>
      </w:r>
      <w:r w:rsidR="00D31A8C">
        <w:rPr>
          <w:rFonts w:ascii="Avenir Next LT Pro" w:eastAsia="Verdana" w:hAnsi="Avenir Next LT Pro" w:cs="Verdana"/>
          <w:color w:val="000000" w:themeColor="text1"/>
        </w:rPr>
        <w:t>s</w:t>
      </w:r>
      <w:r w:rsidRPr="00A425A2">
        <w:rPr>
          <w:rFonts w:ascii="Avenir Next LT Pro" w:eastAsia="Verdana" w:hAnsi="Avenir Next LT Pro" w:cs="Verdana"/>
          <w:color w:val="000000" w:themeColor="text1"/>
        </w:rPr>
        <w:t>ystem“ beschreibt.</w:t>
      </w:r>
    </w:p>
    <w:p w14:paraId="54D3571C" w14:textId="77777777" w:rsidR="00A425A2" w:rsidRPr="00A425A2" w:rsidRDefault="00A425A2" w:rsidP="00A425A2">
      <w:pPr>
        <w:spacing w:line="360" w:lineRule="auto"/>
        <w:ind w:left="-990" w:right="-868"/>
        <w:rPr>
          <w:rFonts w:ascii="Avenir Next LT Pro" w:eastAsia="Verdana" w:hAnsi="Avenir Next LT Pro" w:cs="Verdana"/>
          <w:color w:val="000000" w:themeColor="text1"/>
        </w:rPr>
      </w:pPr>
      <w:r w:rsidRPr="00A425A2">
        <w:rPr>
          <w:rFonts w:ascii="Avenir Next LT Pro" w:eastAsia="Verdana" w:hAnsi="Avenir Next LT Pro" w:cs="Verdana"/>
          <w:color w:val="000000" w:themeColor="text1"/>
        </w:rPr>
        <w:t>Für die klinische Praxis könnte dieser Ansatz das Spektrum direkt und substanzschonend versorgbarer Situationen erweitern. Zähne, die bislang möglicherweise für eine indirekte Versorgung vorgesehen worden wären, können in ausgewählten Fällen mit langlebigen direkten Techniken restauriert werden.</w:t>
      </w:r>
    </w:p>
    <w:p w14:paraId="4AC1BE3D" w14:textId="77777777" w:rsidR="00A425A2" w:rsidRPr="00A425A2" w:rsidRDefault="00A425A2" w:rsidP="00A425A2">
      <w:pPr>
        <w:spacing w:line="360" w:lineRule="auto"/>
        <w:ind w:left="-990" w:right="-868"/>
        <w:rPr>
          <w:rFonts w:ascii="Avenir Next LT Pro" w:eastAsia="Verdana" w:hAnsi="Avenir Next LT Pro" w:cs="Verdana"/>
          <w:color w:val="000000" w:themeColor="text1"/>
        </w:rPr>
      </w:pPr>
      <w:r w:rsidRPr="00A425A2">
        <w:rPr>
          <w:rFonts w:ascii="Avenir Next LT Pro" w:eastAsia="Verdana" w:hAnsi="Avenir Next LT Pro" w:cs="Verdana"/>
          <w:color w:val="000000" w:themeColor="text1"/>
        </w:rPr>
        <w:t>Die Einsatzmöglichkeiten reichen jedoch über die Versorgung einzelner Zähne hinaus. Langfasersysteme können für direkte Brücken und Schienungen verwendet werden, während Kurzfaserkomposite die Verbindung dieser längeren Fasern mit der Zahnsubstanz unterstützen können. „Durch diese Integration verschwimmen die Grenzen zwischen restaurativer Zahnmedizin und Prothetik zunehmend“, erklärt Prof. Vallittu.</w:t>
      </w:r>
    </w:p>
    <w:p w14:paraId="05AC07AD" w14:textId="77777777" w:rsidR="00A425A2" w:rsidRPr="00A425A2" w:rsidRDefault="00A425A2" w:rsidP="00A425A2">
      <w:pPr>
        <w:spacing w:line="360" w:lineRule="auto"/>
        <w:ind w:left="-990" w:right="-868"/>
        <w:rPr>
          <w:rFonts w:ascii="Avenir Next LT Pro" w:eastAsia="Verdana" w:hAnsi="Avenir Next LT Pro" w:cs="Verdana"/>
          <w:color w:val="000000" w:themeColor="text1"/>
        </w:rPr>
      </w:pPr>
      <w:r w:rsidRPr="00A425A2">
        <w:rPr>
          <w:rFonts w:ascii="Avenir Next LT Pro" w:eastAsia="Verdana" w:hAnsi="Avenir Next LT Pro" w:cs="Verdana"/>
          <w:color w:val="000000" w:themeColor="text1"/>
        </w:rPr>
        <w:t>Der klinische Erfolg setzt jedoch voraus, wesentliche Grundprinzipien zu beachten. Nach Ansicht von Prof. Vallittu sollten Menge und Position des faserverstärkten Komposits ungefähr dem Volumen und der Lage des Dentins entsprechen, das vor der Schädigung des Zahns vorhanden war. „Darüber hinaus sind hochwertige Adhäsivsysteme, eine selektive Schmelzätzung und eine korrekte Lichthärtung entscheidende Faktoren für den Erfolg aller Kompositrestaurationen“, betont er.</w:t>
      </w:r>
    </w:p>
    <w:p w14:paraId="4FCB0BF1" w14:textId="77777777" w:rsidR="006158A3" w:rsidRDefault="006158A3" w:rsidP="007D7BF6">
      <w:pPr>
        <w:spacing w:line="360" w:lineRule="auto"/>
        <w:ind w:left="-990" w:right="-868"/>
        <w:rPr>
          <w:rFonts w:ascii="Avenir Next LT Pro" w:eastAsia="Verdana" w:hAnsi="Avenir Next LT Pro" w:cs="Verdana"/>
          <w:color w:val="000000" w:themeColor="text1"/>
        </w:rPr>
      </w:pPr>
    </w:p>
    <w:p w14:paraId="306D50E9" w14:textId="1A21D6A6" w:rsidR="00A425A2" w:rsidRPr="00A075AC" w:rsidRDefault="00A075AC" w:rsidP="007D7BF6">
      <w:pPr>
        <w:spacing w:line="360" w:lineRule="auto"/>
        <w:ind w:left="-990" w:right="-868"/>
        <w:rPr>
          <w:rFonts w:ascii="Avenir Next LT Pro" w:eastAsia="Verdana" w:hAnsi="Avenir Next LT Pro" w:cs="Verdana"/>
          <w:b/>
          <w:bCs/>
          <w:color w:val="000000" w:themeColor="text1"/>
          <w:sz w:val="28"/>
          <w:szCs w:val="28"/>
        </w:rPr>
      </w:pPr>
      <w:r w:rsidRPr="00A075AC">
        <w:rPr>
          <w:rFonts w:ascii="Avenir Next LT Pro" w:eastAsia="Verdana" w:hAnsi="Avenir Next LT Pro" w:cs="Verdana"/>
          <w:b/>
          <w:bCs/>
          <w:color w:val="000000" w:themeColor="text1"/>
          <w:sz w:val="28"/>
          <w:szCs w:val="28"/>
        </w:rPr>
        <w:t>Von der Knochenaugmentation bis zum digitalen Workflow</w:t>
      </w:r>
    </w:p>
    <w:p w14:paraId="7CA088C7" w14:textId="77777777" w:rsidR="00A425A2" w:rsidRPr="006158A3" w:rsidRDefault="00A425A2" w:rsidP="007D7BF6">
      <w:pPr>
        <w:spacing w:line="360" w:lineRule="auto"/>
        <w:ind w:left="-990" w:right="-868"/>
        <w:rPr>
          <w:rFonts w:ascii="Avenir Next LT Pro" w:eastAsia="Verdana" w:hAnsi="Avenir Next LT Pro" w:cs="Verdana"/>
          <w:color w:val="000000" w:themeColor="text1"/>
          <w:sz w:val="20"/>
          <w:szCs w:val="20"/>
        </w:rPr>
      </w:pPr>
    </w:p>
    <w:p w14:paraId="6684FDCA" w14:textId="77777777" w:rsidR="003511FD" w:rsidRPr="003511FD" w:rsidRDefault="003511FD" w:rsidP="003511FD">
      <w:pPr>
        <w:spacing w:line="360" w:lineRule="auto"/>
        <w:ind w:left="-990" w:right="-868"/>
        <w:rPr>
          <w:rFonts w:ascii="Avenir Next LT Pro" w:eastAsia="Verdana" w:hAnsi="Avenir Next LT Pro" w:cs="Verdana"/>
          <w:color w:val="000000" w:themeColor="text1"/>
        </w:rPr>
      </w:pPr>
      <w:r w:rsidRPr="003511FD">
        <w:rPr>
          <w:rFonts w:ascii="Avenir Next LT Pro" w:eastAsia="Verdana" w:hAnsi="Avenir Next LT Pro" w:cs="Verdana"/>
          <w:color w:val="000000" w:themeColor="text1"/>
        </w:rPr>
        <w:t>Weitere Einblicke in innovative Materialien und Arbeitsabläufe bieten Sessions zur Weiterentwicklung von Materialien für die Knochenaugmentation sowie zur Validierung digitaler Diagnostik und prothetischer Workflows.</w:t>
      </w:r>
    </w:p>
    <w:p w14:paraId="17091137" w14:textId="77777777" w:rsidR="003511FD" w:rsidRPr="003511FD" w:rsidRDefault="003511FD" w:rsidP="003511FD">
      <w:pPr>
        <w:spacing w:line="360" w:lineRule="auto"/>
        <w:ind w:left="-990" w:right="-868"/>
        <w:rPr>
          <w:rFonts w:ascii="Avenir Next LT Pro" w:eastAsia="Verdana" w:hAnsi="Avenir Next LT Pro" w:cs="Verdana"/>
          <w:color w:val="000000" w:themeColor="text1"/>
        </w:rPr>
      </w:pPr>
      <w:r w:rsidRPr="003511FD">
        <w:rPr>
          <w:rFonts w:ascii="Avenir Next LT Pro" w:eastAsia="Verdana" w:hAnsi="Avenir Next LT Pro" w:cs="Verdana"/>
          <w:color w:val="000000" w:themeColor="text1"/>
        </w:rPr>
        <w:t xml:space="preserve">Die Session </w:t>
      </w:r>
      <w:r w:rsidRPr="003511FD">
        <w:rPr>
          <w:rFonts w:ascii="Avenir Next LT Pro" w:eastAsia="Verdana" w:hAnsi="Avenir Next LT Pro" w:cs="Verdana"/>
          <w:b/>
          <w:bCs/>
          <w:color w:val="000000" w:themeColor="text1"/>
        </w:rPr>
        <w:t>„Ein innovatives Material für die Knochenaugmentation: Karbonatapatit in der klinischen Praxis, wissenschaftlich fundiert und klinisch bestätigt“</w:t>
      </w:r>
      <w:r w:rsidRPr="003511FD">
        <w:rPr>
          <w:rFonts w:ascii="Avenir Next LT Pro" w:eastAsia="Verdana" w:hAnsi="Avenir Next LT Pro" w:cs="Verdana"/>
          <w:color w:val="000000" w:themeColor="text1"/>
        </w:rPr>
        <w:t xml:space="preserve"> bringt Dr. Paul S. Rosen mit Prof. Shinya Murakami, Prof. Anton Sculean und Prof. Hom Lay Wang zusammen.</w:t>
      </w:r>
    </w:p>
    <w:p w14:paraId="51E634DC" w14:textId="77777777" w:rsidR="003511FD" w:rsidRPr="003511FD" w:rsidRDefault="003511FD" w:rsidP="003511FD">
      <w:pPr>
        <w:spacing w:line="360" w:lineRule="auto"/>
        <w:ind w:left="-990" w:right="-868"/>
        <w:rPr>
          <w:rFonts w:ascii="Avenir Next LT Pro" w:eastAsia="Verdana" w:hAnsi="Avenir Next LT Pro" w:cs="Verdana"/>
          <w:color w:val="000000" w:themeColor="text1"/>
        </w:rPr>
      </w:pPr>
      <w:r w:rsidRPr="003511FD">
        <w:rPr>
          <w:rFonts w:ascii="Avenir Next LT Pro" w:eastAsia="Verdana" w:hAnsi="Avenir Next LT Pro" w:cs="Verdana"/>
          <w:color w:val="000000" w:themeColor="text1"/>
        </w:rPr>
        <w:lastRenderedPageBreak/>
        <w:t>Auch die Verbindung zwischen digitaler Diagnostik, prothetischem Design und Materialauswahl wird in zwei Sessions thematisiert. Für zahnmedizinische Teams gewinnt diese Schnittstelle zunehmend an Bedeutung. Digitale Workflows sind längst kein separater Bereich mehr, sondern werden zu einem zentralen Bestandteil der Planung, Herstellung und Eingliederung restaurativer Versorgungen.</w:t>
      </w:r>
    </w:p>
    <w:p w14:paraId="0786B983" w14:textId="77777777" w:rsidR="003511FD" w:rsidRDefault="003511FD" w:rsidP="003511FD">
      <w:pPr>
        <w:spacing w:line="360" w:lineRule="auto"/>
        <w:ind w:left="-990" w:right="-868"/>
        <w:rPr>
          <w:rFonts w:ascii="Avenir Next LT Pro" w:eastAsia="Verdana" w:hAnsi="Avenir Next LT Pro" w:cs="Verdana"/>
          <w:color w:val="000000" w:themeColor="text1"/>
        </w:rPr>
      </w:pPr>
      <w:r w:rsidRPr="003511FD">
        <w:rPr>
          <w:rFonts w:ascii="Avenir Next LT Pro" w:eastAsia="Verdana" w:hAnsi="Avenir Next LT Pro" w:cs="Verdana"/>
          <w:color w:val="000000" w:themeColor="text1"/>
        </w:rPr>
        <w:t xml:space="preserve">Unter dem Titel </w:t>
      </w:r>
      <w:r w:rsidRPr="003511FD">
        <w:rPr>
          <w:rFonts w:ascii="Avenir Next LT Pro" w:eastAsia="Verdana" w:hAnsi="Avenir Next LT Pro" w:cs="Verdana"/>
          <w:b/>
          <w:bCs/>
          <w:color w:val="000000" w:themeColor="text1"/>
        </w:rPr>
        <w:t>„Die Schnittstelle zwischen digitalen Workflows und Materialien: validierte Abläufe von der Diagnostik bis zur Prothetik“</w:t>
      </w:r>
      <w:r w:rsidRPr="003511FD">
        <w:rPr>
          <w:rFonts w:ascii="Avenir Next LT Pro" w:eastAsia="Verdana" w:hAnsi="Avenir Next LT Pro" w:cs="Verdana"/>
          <w:color w:val="000000" w:themeColor="text1"/>
        </w:rPr>
        <w:t xml:space="preserve"> beschäftigt sich eine Session mit Veneers. Referenten sind Prof. Reinhilde Jacobs, Dr. Anthony Mak und Dr. Mahmoud Ezzat Ghazi. Eine weitere Session widmet sich dem Thema Prothesen und wird von Prof. Jacobs, Prof. Manabu Kanazawa und Dr. Elisabetta Bellia gestaltet.</w:t>
      </w:r>
    </w:p>
    <w:p w14:paraId="07A0F630" w14:textId="77777777" w:rsidR="003511FD" w:rsidRDefault="003511FD" w:rsidP="003511FD">
      <w:pPr>
        <w:spacing w:line="360" w:lineRule="auto"/>
        <w:ind w:left="-990" w:right="-868"/>
        <w:rPr>
          <w:rFonts w:ascii="Avenir Next LT Pro" w:eastAsia="Verdana" w:hAnsi="Avenir Next LT Pro" w:cs="Verdana"/>
          <w:color w:val="000000" w:themeColor="text1"/>
        </w:rPr>
      </w:pPr>
    </w:p>
    <w:p w14:paraId="445A647F" w14:textId="2A223430" w:rsidR="003511FD" w:rsidRPr="009A14D5" w:rsidRDefault="009A14D5" w:rsidP="003511FD">
      <w:pPr>
        <w:spacing w:line="360" w:lineRule="auto"/>
        <w:ind w:left="-990" w:right="-868"/>
        <w:rPr>
          <w:rFonts w:ascii="Avenir Next LT Pro" w:eastAsia="Verdana" w:hAnsi="Avenir Next LT Pro" w:cs="Verdana"/>
          <w:b/>
          <w:bCs/>
          <w:color w:val="000000" w:themeColor="text1"/>
          <w:sz w:val="28"/>
          <w:szCs w:val="28"/>
        </w:rPr>
      </w:pPr>
      <w:r w:rsidRPr="009A14D5">
        <w:rPr>
          <w:rFonts w:ascii="Avenir Next LT Pro" w:eastAsia="Verdana" w:hAnsi="Avenir Next LT Pro" w:cs="Verdana"/>
          <w:b/>
          <w:bCs/>
          <w:color w:val="000000" w:themeColor="text1"/>
          <w:sz w:val="28"/>
          <w:szCs w:val="28"/>
        </w:rPr>
        <w:t>One Week of Excellence</w:t>
      </w:r>
    </w:p>
    <w:p w14:paraId="3366F017" w14:textId="77777777" w:rsidR="003511FD" w:rsidRPr="006158A3" w:rsidRDefault="003511FD" w:rsidP="003511FD">
      <w:pPr>
        <w:spacing w:line="360" w:lineRule="auto"/>
        <w:ind w:left="-990" w:right="-868"/>
        <w:rPr>
          <w:rFonts w:ascii="Avenir Next LT Pro" w:eastAsia="Verdana" w:hAnsi="Avenir Next LT Pro" w:cs="Verdana"/>
          <w:color w:val="000000" w:themeColor="text1"/>
          <w:sz w:val="20"/>
          <w:szCs w:val="20"/>
        </w:rPr>
      </w:pPr>
    </w:p>
    <w:p w14:paraId="097E212B" w14:textId="7DAD554C" w:rsidR="009A14D5" w:rsidRPr="009A14D5" w:rsidRDefault="009A14D5" w:rsidP="009A14D5">
      <w:pPr>
        <w:spacing w:line="360" w:lineRule="auto"/>
        <w:ind w:left="-990" w:right="-868"/>
        <w:rPr>
          <w:rFonts w:ascii="Avenir Next LT Pro" w:eastAsia="Verdana" w:hAnsi="Avenir Next LT Pro" w:cs="Verdana"/>
          <w:color w:val="000000" w:themeColor="text1"/>
        </w:rPr>
      </w:pPr>
      <w:r w:rsidRPr="009A14D5">
        <w:rPr>
          <w:rFonts w:ascii="Avenir Next LT Pro" w:eastAsia="Verdana" w:hAnsi="Avenir Next LT Pro" w:cs="Verdana"/>
          <w:color w:val="000000" w:themeColor="text1"/>
        </w:rPr>
        <w:t xml:space="preserve">Mit dem sechsten GC International Dental Symposium lädt GC zahnmedizinische Fachkräfte aus aller Welt nach Tokio ein, um an der </w:t>
      </w:r>
      <w:r w:rsidRPr="009A14D5">
        <w:rPr>
          <w:rFonts w:ascii="Avenir Next LT Pro" w:eastAsia="Verdana" w:hAnsi="Avenir Next LT Pro" w:cs="Verdana"/>
          <w:b/>
          <w:bCs/>
          <w:color w:val="000000" w:themeColor="text1"/>
        </w:rPr>
        <w:t>One Week of Excellence</w:t>
      </w:r>
      <w:r w:rsidRPr="009A14D5">
        <w:rPr>
          <w:rFonts w:ascii="Avenir Next LT Pro" w:eastAsia="Verdana" w:hAnsi="Avenir Next LT Pro" w:cs="Verdana"/>
          <w:color w:val="000000" w:themeColor="text1"/>
        </w:rPr>
        <w:t xml:space="preserve"> teilzunehmen.</w:t>
      </w:r>
      <w:r w:rsidR="00450E0E">
        <w:rPr>
          <w:rFonts w:ascii="Avenir Next LT Pro" w:eastAsia="Verdana" w:hAnsi="Avenir Next LT Pro" w:cs="Verdana"/>
          <w:color w:val="000000" w:themeColor="text1"/>
        </w:rPr>
        <w:t xml:space="preserve"> </w:t>
      </w:r>
      <w:r w:rsidRPr="009A14D5">
        <w:rPr>
          <w:rFonts w:ascii="Avenir Next LT Pro" w:eastAsia="Verdana" w:hAnsi="Avenir Next LT Pro" w:cs="Verdana"/>
          <w:color w:val="000000" w:themeColor="text1"/>
        </w:rPr>
        <w:t>Neben dem zweitägigen wissenschaftlichen Programm mit insgesamt 72 Vorträgen umfasst die Woche praktische Kurse, gesellschaftliche Veranstaltungen sowie organisierte kulturelle Aktivitäten. Dazu gehören unter anderem Touren durch Tokio und ein Besuch der Bergstadt Nikkō.</w:t>
      </w:r>
    </w:p>
    <w:p w14:paraId="49B4A654" w14:textId="77777777" w:rsidR="009B6024" w:rsidRDefault="009A14D5" w:rsidP="00A33654">
      <w:pPr>
        <w:spacing w:line="360" w:lineRule="auto"/>
        <w:ind w:left="-990" w:right="-868"/>
        <w:rPr>
          <w:rFonts w:ascii="Avenir Next LT Pro" w:eastAsia="Verdana" w:hAnsi="Avenir Next LT Pro" w:cs="Verdana"/>
          <w:color w:val="000000" w:themeColor="text1"/>
        </w:rPr>
      </w:pPr>
      <w:r w:rsidRPr="009A14D5">
        <w:rPr>
          <w:rFonts w:ascii="Avenir Next LT Pro" w:eastAsia="Verdana" w:hAnsi="Avenir Next LT Pro" w:cs="Verdana"/>
          <w:color w:val="000000" w:themeColor="text1"/>
        </w:rPr>
        <w:t>Teilnehmende können bis zu 54 Fortbildungspunkte erwerben. Davon entfallen 12 Punkte auf die Vorträge des Symposiums und 42 Punkte auf Workshops. Während des Symposiums wird eine Simultanübersetzung in Japanisch und Englisch angeboten.</w:t>
      </w:r>
      <w:r w:rsidR="009B6024">
        <w:rPr>
          <w:rFonts w:ascii="Avenir Next LT Pro" w:eastAsia="Verdana" w:hAnsi="Avenir Next LT Pro" w:cs="Verdana"/>
          <w:color w:val="000000" w:themeColor="text1"/>
        </w:rPr>
        <w:t xml:space="preserve"> </w:t>
      </w:r>
    </w:p>
    <w:p w14:paraId="49ECC7AD" w14:textId="4E4860C1" w:rsidR="007D7BF6" w:rsidRPr="004C2F7F" w:rsidRDefault="009A14D5" w:rsidP="00A33654">
      <w:pPr>
        <w:spacing w:line="360" w:lineRule="auto"/>
        <w:ind w:left="-990" w:right="-868"/>
        <w:rPr>
          <w:rFonts w:ascii="Avenir Next LT Pro" w:eastAsia="Verdana" w:hAnsi="Avenir Next LT Pro" w:cs="Verdana"/>
          <w:color w:val="000000" w:themeColor="text1"/>
        </w:rPr>
      </w:pPr>
      <w:r w:rsidRPr="009A14D5">
        <w:rPr>
          <w:rFonts w:ascii="Avenir Next LT Pro" w:eastAsia="Verdana" w:hAnsi="Avenir Next LT Pro" w:cs="Verdana"/>
          <w:color w:val="000000" w:themeColor="text1"/>
        </w:rPr>
        <w:t>Weitere Informationen zum Programm und zur Registrierung sind auf der Veranstaltungswebsite verfügbar</w:t>
      </w:r>
      <w:r>
        <w:rPr>
          <w:rFonts w:ascii="Avenir Next LT Pro" w:eastAsia="Verdana" w:hAnsi="Avenir Next LT Pro" w:cs="Verdana"/>
          <w:color w:val="000000" w:themeColor="text1"/>
        </w:rPr>
        <w:t>:</w:t>
      </w:r>
      <w:r w:rsidR="00100568">
        <w:rPr>
          <w:rFonts w:ascii="Avenir Next LT Pro" w:eastAsia="Verdana" w:hAnsi="Avenir Next LT Pro" w:cs="Verdana"/>
          <w:color w:val="000000" w:themeColor="text1"/>
        </w:rPr>
        <w:t xml:space="preserve"> </w:t>
      </w:r>
      <w:hyperlink r:id="rId10" w:history="1">
        <w:r w:rsidR="002B6035" w:rsidRPr="004C2F7F">
          <w:rPr>
            <w:rStyle w:val="Hyperlink"/>
            <w:rFonts w:ascii="Avenir Next LT Pro" w:eastAsia="Verdana" w:hAnsi="Avenir Next LT Pro" w:cs="Verdana"/>
          </w:rPr>
          <w:t>www.gcdentalcampus.com/en/the-6-th-international-dental-symposium</w:t>
        </w:r>
      </w:hyperlink>
    </w:p>
    <w:p w14:paraId="3C9DCA7A" w14:textId="2B13717D" w:rsidR="00100568" w:rsidRPr="00FD5A5A" w:rsidRDefault="001F7004" w:rsidP="00100568">
      <w:pPr>
        <w:spacing w:line="360" w:lineRule="auto"/>
        <w:ind w:left="-990" w:right="-868"/>
        <w:rPr>
          <w:rFonts w:ascii="Avenir Next LT Pro" w:hAnsi="Avenir Next LT Pro"/>
          <w:noProof/>
          <w:color w:val="000000" w:themeColor="text1"/>
          <w:spacing w:val="5"/>
          <w:kern w:val="28"/>
        </w:rPr>
      </w:pPr>
      <w:r w:rsidRPr="00FD5A5A">
        <w:rPr>
          <w:rFonts w:ascii="Avenir Next LT Pro" w:hAnsi="Avenir Next LT Pro"/>
          <w:noProof/>
          <w:color w:val="000000" w:themeColor="text1"/>
          <w:spacing w:val="5"/>
          <w:kern w:val="28"/>
        </w:rPr>
        <w:lastRenderedPageBreak/>
        <w:drawing>
          <wp:anchor distT="0" distB="0" distL="114300" distR="114300" simplePos="0" relativeHeight="251661312" behindDoc="0" locked="0" layoutInCell="1" allowOverlap="1" wp14:anchorId="30EFB52B" wp14:editId="26CD143F">
            <wp:simplePos x="0" y="0"/>
            <wp:positionH relativeFrom="column">
              <wp:posOffset>-626745</wp:posOffset>
            </wp:positionH>
            <wp:positionV relativeFrom="paragraph">
              <wp:posOffset>0</wp:posOffset>
            </wp:positionV>
            <wp:extent cx="1800000" cy="1951200"/>
            <wp:effectExtent l="0" t="0" r="0" b="0"/>
            <wp:wrapSquare wrapText="bothSides"/>
            <wp:docPr id="31586854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868543" name="Grafik 31586854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0000" cy="1951200"/>
                    </a:xfrm>
                    <a:prstGeom prst="rect">
                      <a:avLst/>
                    </a:prstGeom>
                  </pic:spPr>
                </pic:pic>
              </a:graphicData>
            </a:graphic>
            <wp14:sizeRelH relativeFrom="margin">
              <wp14:pctWidth>0</wp14:pctWidth>
            </wp14:sizeRelH>
            <wp14:sizeRelV relativeFrom="margin">
              <wp14:pctHeight>0</wp14:pctHeight>
            </wp14:sizeRelV>
          </wp:anchor>
        </w:drawing>
      </w:r>
      <w:r w:rsidR="008113C5" w:rsidRPr="00FD5A5A">
        <w:rPr>
          <w:rFonts w:ascii="Avenir Next LT Pro" w:hAnsi="Avenir Next LT Pro"/>
          <w:noProof/>
          <w:color w:val="000000" w:themeColor="text1"/>
          <w:spacing w:val="5"/>
          <w:kern w:val="28"/>
        </w:rPr>
        <w:t>Beim GC International Dental Symposium in Tokio beleuchtet Prof. Pekka Vallittu, wie Faserverstärkungen und verstärkte Kompositstrukturen restaurative Entscheidungen verändern und neue Möglichkeiten für direkte Versorgungen eröffnen können.</w:t>
      </w:r>
    </w:p>
    <w:p w14:paraId="174A6288" w14:textId="77777777" w:rsidR="00FD5A5A" w:rsidRDefault="00FD5A5A" w:rsidP="00100568">
      <w:pPr>
        <w:spacing w:line="360" w:lineRule="auto"/>
        <w:ind w:left="-990" w:right="-868"/>
        <w:rPr>
          <w:rFonts w:ascii="Avenir Next LT Pro" w:hAnsi="Avenir Next LT Pro"/>
          <w:noProof/>
          <w:color w:val="000000" w:themeColor="text1"/>
          <w:spacing w:val="5"/>
          <w:kern w:val="28"/>
        </w:rPr>
      </w:pPr>
    </w:p>
    <w:p w14:paraId="7D69E0B4" w14:textId="77777777" w:rsidR="00D53F8D" w:rsidRPr="00FD5A5A" w:rsidRDefault="00D53F8D" w:rsidP="00100568">
      <w:pPr>
        <w:spacing w:line="360" w:lineRule="auto"/>
        <w:ind w:left="-990" w:right="-868"/>
        <w:rPr>
          <w:rFonts w:ascii="Avenir Next LT Pro" w:hAnsi="Avenir Next LT Pro"/>
          <w:noProof/>
          <w:color w:val="000000" w:themeColor="text1"/>
          <w:spacing w:val="5"/>
          <w:kern w:val="28"/>
        </w:rPr>
      </w:pPr>
    </w:p>
    <w:p w14:paraId="311423F7" w14:textId="77777777" w:rsidR="00FD5A5A" w:rsidRPr="00FD5A5A" w:rsidRDefault="00FD5A5A" w:rsidP="00100568">
      <w:pPr>
        <w:spacing w:line="360" w:lineRule="auto"/>
        <w:ind w:left="-990" w:right="-868"/>
        <w:rPr>
          <w:rFonts w:ascii="Avenir Next LT Pro" w:hAnsi="Avenir Next LT Pro"/>
          <w:noProof/>
          <w:color w:val="000000" w:themeColor="text1"/>
          <w:spacing w:val="5"/>
          <w:kern w:val="28"/>
        </w:rPr>
      </w:pPr>
    </w:p>
    <w:p w14:paraId="7652AA87" w14:textId="72C095E8" w:rsidR="008113C5" w:rsidRPr="00FD5A5A" w:rsidRDefault="008113C5" w:rsidP="007D7BF6">
      <w:pPr>
        <w:spacing w:line="360" w:lineRule="auto"/>
        <w:ind w:left="-990" w:right="-868"/>
        <w:rPr>
          <w:rFonts w:ascii="Avenir Next LT Pro" w:hAnsi="Avenir Next LT Pro"/>
          <w:color w:val="000000" w:themeColor="text1"/>
          <w:spacing w:val="5"/>
          <w:kern w:val="28"/>
        </w:rPr>
      </w:pPr>
      <w:r w:rsidRPr="00FD5A5A">
        <w:rPr>
          <w:rFonts w:ascii="Avenir Next LT Pro" w:hAnsi="Avenir Next LT Pro"/>
          <w:noProof/>
          <w:color w:val="000000" w:themeColor="text1"/>
          <w:spacing w:val="5"/>
          <w:kern w:val="28"/>
        </w:rPr>
        <w:drawing>
          <wp:anchor distT="0" distB="0" distL="114300" distR="114300" simplePos="0" relativeHeight="251662336" behindDoc="0" locked="0" layoutInCell="1" allowOverlap="1" wp14:anchorId="5221157F" wp14:editId="61DE436A">
            <wp:simplePos x="0" y="0"/>
            <wp:positionH relativeFrom="column">
              <wp:posOffset>-626745</wp:posOffset>
            </wp:positionH>
            <wp:positionV relativeFrom="paragraph">
              <wp:posOffset>0</wp:posOffset>
            </wp:positionV>
            <wp:extent cx="1800000" cy="2329200"/>
            <wp:effectExtent l="0" t="0" r="0" b="0"/>
            <wp:wrapSquare wrapText="bothSides"/>
            <wp:docPr id="71779934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799346" name="Grafik 71779934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00000" cy="2329200"/>
                    </a:xfrm>
                    <a:prstGeom prst="rect">
                      <a:avLst/>
                    </a:prstGeom>
                  </pic:spPr>
                </pic:pic>
              </a:graphicData>
            </a:graphic>
            <wp14:sizeRelH relativeFrom="margin">
              <wp14:pctWidth>0</wp14:pctWidth>
            </wp14:sizeRelH>
            <wp14:sizeRelV relativeFrom="margin">
              <wp14:pctHeight>0</wp14:pctHeight>
            </wp14:sizeRelV>
          </wp:anchor>
        </w:drawing>
      </w:r>
      <w:r w:rsidR="009851D6" w:rsidRPr="00FD5A5A">
        <w:rPr>
          <w:rFonts w:ascii="Avenir Next LT Pro" w:hAnsi="Avenir Next LT Pro"/>
          <w:color w:val="000000" w:themeColor="text1"/>
          <w:spacing w:val="5"/>
          <w:kern w:val="28"/>
        </w:rPr>
        <w:t>Prof. Roland Frankenberger spricht beim sechsten GC International Dental Symposium über Adhäsivsysteme der nächsten Generation für direkte und indirekte Restaurationen.</w:t>
      </w:r>
    </w:p>
    <w:p w14:paraId="25A5E8F7" w14:textId="77777777" w:rsidR="009851D6" w:rsidRPr="00FD5A5A" w:rsidRDefault="009851D6" w:rsidP="007D7BF6">
      <w:pPr>
        <w:spacing w:line="360" w:lineRule="auto"/>
        <w:ind w:left="-990" w:right="-868"/>
        <w:rPr>
          <w:rFonts w:ascii="Avenir Next LT Pro" w:hAnsi="Avenir Next LT Pro"/>
          <w:color w:val="000000" w:themeColor="text1"/>
          <w:spacing w:val="5"/>
          <w:kern w:val="28"/>
        </w:rPr>
      </w:pPr>
    </w:p>
    <w:p w14:paraId="03072BF9" w14:textId="77777777" w:rsidR="00FD5A5A" w:rsidRPr="00FD5A5A" w:rsidRDefault="00FD5A5A" w:rsidP="007D7BF6">
      <w:pPr>
        <w:spacing w:line="360" w:lineRule="auto"/>
        <w:ind w:left="-990" w:right="-868"/>
        <w:rPr>
          <w:rFonts w:ascii="Avenir Next LT Pro" w:hAnsi="Avenir Next LT Pro"/>
          <w:color w:val="000000" w:themeColor="text1"/>
          <w:spacing w:val="5"/>
          <w:kern w:val="28"/>
        </w:rPr>
      </w:pPr>
    </w:p>
    <w:p w14:paraId="28C32149" w14:textId="77777777" w:rsidR="00FD5A5A" w:rsidRPr="00FD5A5A" w:rsidRDefault="00FD5A5A" w:rsidP="007D7BF6">
      <w:pPr>
        <w:spacing w:line="360" w:lineRule="auto"/>
        <w:ind w:left="-990" w:right="-868"/>
        <w:rPr>
          <w:rFonts w:ascii="Avenir Next LT Pro" w:hAnsi="Avenir Next LT Pro"/>
          <w:color w:val="000000" w:themeColor="text1"/>
          <w:spacing w:val="5"/>
          <w:kern w:val="28"/>
        </w:rPr>
      </w:pPr>
    </w:p>
    <w:p w14:paraId="27C90311" w14:textId="77777777" w:rsidR="00FD5A5A" w:rsidRPr="00FD5A5A" w:rsidRDefault="00FD5A5A" w:rsidP="007D7BF6">
      <w:pPr>
        <w:spacing w:line="360" w:lineRule="auto"/>
        <w:ind w:left="-990" w:right="-868"/>
        <w:rPr>
          <w:rFonts w:ascii="Avenir Next LT Pro" w:hAnsi="Avenir Next LT Pro"/>
          <w:color w:val="000000" w:themeColor="text1"/>
          <w:spacing w:val="5"/>
          <w:kern w:val="28"/>
        </w:rPr>
      </w:pPr>
    </w:p>
    <w:p w14:paraId="145ED2FB" w14:textId="77777777" w:rsidR="00FD5A5A" w:rsidRDefault="00FD5A5A" w:rsidP="007D7BF6">
      <w:pPr>
        <w:spacing w:line="360" w:lineRule="auto"/>
        <w:ind w:left="-990" w:right="-868"/>
        <w:rPr>
          <w:rFonts w:ascii="Avenir Next LT Pro" w:hAnsi="Avenir Next LT Pro"/>
          <w:color w:val="000000" w:themeColor="text1"/>
          <w:spacing w:val="5"/>
          <w:kern w:val="28"/>
        </w:rPr>
      </w:pPr>
    </w:p>
    <w:p w14:paraId="737E6526" w14:textId="77777777" w:rsidR="00FD5A5A" w:rsidRDefault="00FD5A5A" w:rsidP="007D7BF6">
      <w:pPr>
        <w:spacing w:line="360" w:lineRule="auto"/>
        <w:ind w:left="-990" w:right="-868"/>
        <w:rPr>
          <w:rFonts w:ascii="Avenir Next LT Pro" w:hAnsi="Avenir Next LT Pro"/>
          <w:color w:val="000000" w:themeColor="text1"/>
          <w:spacing w:val="5"/>
          <w:kern w:val="28"/>
        </w:rPr>
      </w:pPr>
    </w:p>
    <w:p w14:paraId="60515414" w14:textId="77777777" w:rsidR="00D53F8D" w:rsidRPr="00FD5A5A" w:rsidRDefault="00D53F8D" w:rsidP="007D7BF6">
      <w:pPr>
        <w:spacing w:line="360" w:lineRule="auto"/>
        <w:ind w:left="-990" w:right="-868"/>
        <w:rPr>
          <w:rFonts w:ascii="Avenir Next LT Pro" w:hAnsi="Avenir Next LT Pro"/>
          <w:color w:val="000000" w:themeColor="text1"/>
          <w:spacing w:val="5"/>
          <w:kern w:val="28"/>
        </w:rPr>
      </w:pPr>
    </w:p>
    <w:p w14:paraId="46AFA727" w14:textId="77777777" w:rsidR="00E179BC" w:rsidRPr="00501052" w:rsidRDefault="00E179BC" w:rsidP="00E179BC">
      <w:pPr>
        <w:spacing w:line="360" w:lineRule="auto"/>
        <w:ind w:left="-990" w:right="-868"/>
        <w:rPr>
          <w:rFonts w:ascii="Avenir Next LT Pro" w:eastAsia="Verdana" w:hAnsi="Avenir Next LT Pro" w:cs="Verdana"/>
          <w:color w:val="000000" w:themeColor="text1"/>
        </w:rPr>
      </w:pPr>
      <w:r w:rsidRPr="00501052">
        <w:rPr>
          <w:rFonts w:ascii="Avenir Next LT Pro" w:eastAsia="Verdana" w:hAnsi="Avenir Next LT Pro" w:cs="Verdana"/>
          <w:color w:val="000000" w:themeColor="text1"/>
        </w:rPr>
        <w:t>Kontakt:</w:t>
      </w:r>
    </w:p>
    <w:p w14:paraId="5BAC4C26" w14:textId="77777777" w:rsidR="00E179BC" w:rsidRPr="00501052" w:rsidRDefault="00E179BC" w:rsidP="00E179BC">
      <w:pPr>
        <w:spacing w:line="360" w:lineRule="auto"/>
        <w:ind w:left="-990" w:right="-868"/>
        <w:rPr>
          <w:rFonts w:ascii="Avenir Next LT Pro" w:eastAsia="Verdana" w:hAnsi="Avenir Next LT Pro" w:cs="Verdana"/>
          <w:color w:val="000000" w:themeColor="text1"/>
        </w:rPr>
      </w:pPr>
      <w:r w:rsidRPr="00501052">
        <w:rPr>
          <w:rFonts w:ascii="Avenir Next LT Pro" w:eastAsia="Verdana" w:hAnsi="Avenir Next LT Pro" w:cs="Verdana"/>
          <w:color w:val="000000" w:themeColor="text1"/>
        </w:rPr>
        <w:t>GC Germany GmbH</w:t>
      </w:r>
    </w:p>
    <w:p w14:paraId="7BF2247E" w14:textId="77777777" w:rsidR="00E179BC" w:rsidRPr="00501052" w:rsidRDefault="00E179BC" w:rsidP="00E179BC">
      <w:pPr>
        <w:spacing w:line="360" w:lineRule="auto"/>
        <w:ind w:left="-990" w:right="-868"/>
        <w:rPr>
          <w:rFonts w:ascii="Avenir Next LT Pro" w:eastAsia="Verdana" w:hAnsi="Avenir Next LT Pro" w:cs="Verdana"/>
          <w:color w:val="000000" w:themeColor="text1"/>
        </w:rPr>
      </w:pPr>
      <w:r w:rsidRPr="00501052">
        <w:rPr>
          <w:rFonts w:ascii="Avenir Next LT Pro" w:eastAsia="Verdana" w:hAnsi="Avenir Next LT Pro" w:cs="Verdana"/>
          <w:color w:val="000000" w:themeColor="text1"/>
        </w:rPr>
        <w:t>Seifgrundstraße 2</w:t>
      </w:r>
    </w:p>
    <w:p w14:paraId="136EFC0C" w14:textId="77777777" w:rsidR="00E179BC" w:rsidRPr="00E179BC" w:rsidRDefault="00E179BC" w:rsidP="00E179BC">
      <w:pPr>
        <w:spacing w:line="360" w:lineRule="auto"/>
        <w:ind w:left="-990" w:right="-868"/>
        <w:rPr>
          <w:rFonts w:ascii="Avenir Next LT Pro" w:eastAsia="Verdana" w:hAnsi="Avenir Next LT Pro" w:cs="Verdana"/>
          <w:color w:val="000000" w:themeColor="text1"/>
          <w:lang w:val="en-US"/>
        </w:rPr>
      </w:pPr>
      <w:r w:rsidRPr="00E179BC">
        <w:rPr>
          <w:rFonts w:ascii="Avenir Next LT Pro" w:eastAsia="Verdana" w:hAnsi="Avenir Next LT Pro" w:cs="Verdana"/>
          <w:color w:val="000000" w:themeColor="text1"/>
          <w:lang w:val="en-US"/>
        </w:rPr>
        <w:t>61348 Bad Homburg</w:t>
      </w:r>
    </w:p>
    <w:p w14:paraId="23C81F05" w14:textId="77777777" w:rsidR="00E179BC" w:rsidRPr="00E179BC" w:rsidRDefault="00E179BC" w:rsidP="00E179BC">
      <w:pPr>
        <w:spacing w:line="360" w:lineRule="auto"/>
        <w:ind w:left="-990" w:right="-868"/>
        <w:rPr>
          <w:rFonts w:ascii="Avenir Next LT Pro" w:eastAsia="Verdana" w:hAnsi="Avenir Next LT Pro" w:cs="Verdana"/>
          <w:color w:val="000000" w:themeColor="text1"/>
          <w:lang w:val="en-US"/>
        </w:rPr>
      </w:pPr>
      <w:r w:rsidRPr="00E179BC">
        <w:rPr>
          <w:rFonts w:ascii="Avenir Next LT Pro" w:eastAsia="Verdana" w:hAnsi="Avenir Next LT Pro" w:cs="Verdana"/>
          <w:color w:val="000000" w:themeColor="text1"/>
          <w:lang w:val="en-US"/>
        </w:rPr>
        <w:t>Tel.: +49.6172.99.596.0</w:t>
      </w:r>
    </w:p>
    <w:p w14:paraId="4F5AC14E" w14:textId="77777777" w:rsidR="00E179BC" w:rsidRPr="00E179BC" w:rsidRDefault="00E179BC" w:rsidP="00E179BC">
      <w:pPr>
        <w:spacing w:line="360" w:lineRule="auto"/>
        <w:ind w:left="-990" w:right="-868"/>
        <w:rPr>
          <w:rFonts w:ascii="Avenir Next LT Pro" w:eastAsia="Verdana" w:hAnsi="Avenir Next LT Pro" w:cs="Verdana"/>
          <w:color w:val="000000" w:themeColor="text1"/>
          <w:lang w:val="en-US"/>
        </w:rPr>
      </w:pPr>
      <w:r w:rsidRPr="00E179BC">
        <w:rPr>
          <w:rFonts w:ascii="Avenir Next LT Pro" w:eastAsia="Verdana" w:hAnsi="Avenir Next LT Pro" w:cs="Verdana"/>
          <w:color w:val="000000" w:themeColor="text1"/>
          <w:lang w:val="en-US"/>
        </w:rPr>
        <w:t>Fax: +49.6172.99.596.66</w:t>
      </w:r>
    </w:p>
    <w:p w14:paraId="67B6B9E8" w14:textId="7B6AEB3D" w:rsidR="00E179BC" w:rsidRPr="00E179BC" w:rsidRDefault="00E179BC" w:rsidP="00E179BC">
      <w:pPr>
        <w:spacing w:line="360" w:lineRule="auto"/>
        <w:ind w:left="-990" w:right="-868"/>
        <w:rPr>
          <w:rFonts w:ascii="Avenir Next LT Pro" w:eastAsia="Verdana" w:hAnsi="Avenir Next LT Pro" w:cs="Verdana"/>
          <w:color w:val="000000" w:themeColor="text1"/>
          <w:lang w:val="en-US"/>
        </w:rPr>
      </w:pPr>
      <w:r w:rsidRPr="00E179BC">
        <w:rPr>
          <w:rFonts w:ascii="Avenir Next LT Pro" w:eastAsia="Verdana" w:hAnsi="Avenir Next LT Pro" w:cs="Verdana"/>
          <w:color w:val="000000" w:themeColor="text1"/>
          <w:lang w:val="en-US"/>
        </w:rPr>
        <w:t>info.germany@gc.dental</w:t>
      </w:r>
    </w:p>
    <w:p w14:paraId="29D9B2A3" w14:textId="2428AD4B" w:rsidR="008C0DA6" w:rsidRPr="00E179BC" w:rsidRDefault="00D31A8C" w:rsidP="00E179BC">
      <w:pPr>
        <w:spacing w:line="360" w:lineRule="auto"/>
        <w:ind w:left="-990" w:right="-868"/>
        <w:rPr>
          <w:rStyle w:val="Hyperlink"/>
          <w:rFonts w:ascii="Avenir Next LT Pro" w:hAnsi="Avenir Next LT Pro"/>
          <w:color w:val="000000" w:themeColor="text1"/>
          <w:spacing w:val="5"/>
          <w:kern w:val="28"/>
          <w:sz w:val="22"/>
          <w:szCs w:val="22"/>
          <w:u w:val="none"/>
          <w:lang w:val="en-US"/>
        </w:rPr>
      </w:pPr>
      <w:hyperlink r:id="rId13" w:history="1">
        <w:r w:rsidRPr="00B80744">
          <w:rPr>
            <w:rStyle w:val="Hyperlink"/>
            <w:rFonts w:ascii="Avenir Next LT Pro" w:eastAsia="Verdana" w:hAnsi="Avenir Next LT Pro" w:cs="Verdana"/>
            <w:lang w:val="en-US"/>
          </w:rPr>
          <w:t>www.gc.dental/europe/de-DE</w:t>
        </w:r>
      </w:hyperlink>
    </w:p>
    <w:sectPr w:rsidR="008C0DA6" w:rsidRPr="00E179BC" w:rsidSect="00375891">
      <w:headerReference w:type="default" r:id="rId14"/>
      <w:pgSz w:w="11900" w:h="16840"/>
      <w:pgMar w:top="1826" w:right="1985" w:bottom="2880" w:left="2700" w:header="709" w:footer="4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CB6BD" w14:textId="77777777" w:rsidR="009A3A30" w:rsidRPr="004C2F7F" w:rsidRDefault="009A3A30">
      <w:r w:rsidRPr="004C2F7F">
        <w:separator/>
      </w:r>
    </w:p>
  </w:endnote>
  <w:endnote w:type="continuationSeparator" w:id="0">
    <w:p w14:paraId="5F8D1D33" w14:textId="77777777" w:rsidR="009A3A30" w:rsidRPr="004C2F7F" w:rsidRDefault="009A3A30">
      <w:r w:rsidRPr="004C2F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Next LT Pro">
    <w:altName w:val="Avenir Next LT Pro"/>
    <w:panose1 w:val="020B0504020202020204"/>
    <w:charset w:val="00"/>
    <w:family w:val="swiss"/>
    <w:pitch w:val="variable"/>
    <w:sig w:usb0="800000EF" w:usb1="5000204A" w:usb2="00000000" w:usb3="00000000" w:csb0="00000093"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8EC1D" w14:textId="77777777" w:rsidR="009A3A30" w:rsidRPr="004C2F7F" w:rsidRDefault="009A3A30">
      <w:r w:rsidRPr="004C2F7F">
        <w:separator/>
      </w:r>
    </w:p>
  </w:footnote>
  <w:footnote w:type="continuationSeparator" w:id="0">
    <w:p w14:paraId="4485AE84" w14:textId="77777777" w:rsidR="009A3A30" w:rsidRPr="004C2F7F" w:rsidRDefault="009A3A30">
      <w:r w:rsidRPr="004C2F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E29D1" w14:textId="518C03B9" w:rsidR="004C48D0" w:rsidRPr="004C2F7F" w:rsidRDefault="002A1F4F">
    <w:pPr>
      <w:pStyle w:val="Kopfzeile"/>
      <w:tabs>
        <w:tab w:val="clear" w:pos="9072"/>
        <w:tab w:val="right" w:pos="7842"/>
      </w:tabs>
      <w:rPr>
        <w:lang w:val="de-DE"/>
      </w:rPr>
    </w:pPr>
    <w:r w:rsidRPr="004C2F7F">
      <w:rPr>
        <w:noProof/>
        <w:lang w:val="de-DE"/>
      </w:rPr>
      <w:drawing>
        <wp:anchor distT="0" distB="0" distL="114300" distR="114300" simplePos="0" relativeHeight="251658240" behindDoc="1" locked="0" layoutInCell="1" allowOverlap="1" wp14:anchorId="0377B3A4" wp14:editId="5554E4C1">
          <wp:simplePos x="0" y="0"/>
          <wp:positionH relativeFrom="page">
            <wp:align>left</wp:align>
          </wp:positionH>
          <wp:positionV relativeFrom="paragraph">
            <wp:posOffset>-434781</wp:posOffset>
          </wp:positionV>
          <wp:extent cx="7545788" cy="10670829"/>
          <wp:effectExtent l="0" t="0" r="0" b="0"/>
          <wp:wrapNone/>
          <wp:docPr id="25" name="Picture 25" descr="A white background with 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background with red do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7838" cy="1070201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D66251"/>
    <w:multiLevelType w:val="hybridMultilevel"/>
    <w:tmpl w:val="2B98A9F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1144391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8D0"/>
    <w:rsid w:val="00000A08"/>
    <w:rsid w:val="00000C51"/>
    <w:rsid w:val="000064DE"/>
    <w:rsid w:val="0001042E"/>
    <w:rsid w:val="00014D2C"/>
    <w:rsid w:val="000207F2"/>
    <w:rsid w:val="00022CFD"/>
    <w:rsid w:val="00030A36"/>
    <w:rsid w:val="000455B2"/>
    <w:rsid w:val="00045DA8"/>
    <w:rsid w:val="00046D80"/>
    <w:rsid w:val="000578B1"/>
    <w:rsid w:val="00076EC4"/>
    <w:rsid w:val="000800FA"/>
    <w:rsid w:val="000861F8"/>
    <w:rsid w:val="000A485C"/>
    <w:rsid w:val="000A7D73"/>
    <w:rsid w:val="000B71DB"/>
    <w:rsid w:val="000C3B2B"/>
    <w:rsid w:val="000D1716"/>
    <w:rsid w:val="000D1B56"/>
    <w:rsid w:val="000E0961"/>
    <w:rsid w:val="000E4999"/>
    <w:rsid w:val="00100568"/>
    <w:rsid w:val="00102286"/>
    <w:rsid w:val="00106786"/>
    <w:rsid w:val="00107638"/>
    <w:rsid w:val="00112618"/>
    <w:rsid w:val="00116E35"/>
    <w:rsid w:val="00121317"/>
    <w:rsid w:val="0014534A"/>
    <w:rsid w:val="00163A75"/>
    <w:rsid w:val="0016511A"/>
    <w:rsid w:val="00167D45"/>
    <w:rsid w:val="00176AEF"/>
    <w:rsid w:val="00192C77"/>
    <w:rsid w:val="001A207B"/>
    <w:rsid w:val="001A6393"/>
    <w:rsid w:val="001B5343"/>
    <w:rsid w:val="001B5373"/>
    <w:rsid w:val="001C1388"/>
    <w:rsid w:val="001E2384"/>
    <w:rsid w:val="001E3E8C"/>
    <w:rsid w:val="001F133E"/>
    <w:rsid w:val="001F7004"/>
    <w:rsid w:val="00204E47"/>
    <w:rsid w:val="00206A13"/>
    <w:rsid w:val="002107C7"/>
    <w:rsid w:val="00214EAE"/>
    <w:rsid w:val="00236B8D"/>
    <w:rsid w:val="00247359"/>
    <w:rsid w:val="00254E01"/>
    <w:rsid w:val="00270FCD"/>
    <w:rsid w:val="002762A6"/>
    <w:rsid w:val="00283337"/>
    <w:rsid w:val="00291EEA"/>
    <w:rsid w:val="002974A2"/>
    <w:rsid w:val="002A1F4F"/>
    <w:rsid w:val="002A4426"/>
    <w:rsid w:val="002B1AEA"/>
    <w:rsid w:val="002B600C"/>
    <w:rsid w:val="002B6035"/>
    <w:rsid w:val="002C389F"/>
    <w:rsid w:val="002E51F2"/>
    <w:rsid w:val="002F65E9"/>
    <w:rsid w:val="003042DF"/>
    <w:rsid w:val="00312F6E"/>
    <w:rsid w:val="00315091"/>
    <w:rsid w:val="00315989"/>
    <w:rsid w:val="00321DE6"/>
    <w:rsid w:val="0032290E"/>
    <w:rsid w:val="00325206"/>
    <w:rsid w:val="00327168"/>
    <w:rsid w:val="00344E04"/>
    <w:rsid w:val="003511FD"/>
    <w:rsid w:val="00354BC5"/>
    <w:rsid w:val="0035608A"/>
    <w:rsid w:val="003602A1"/>
    <w:rsid w:val="003734A5"/>
    <w:rsid w:val="00375891"/>
    <w:rsid w:val="00390C9F"/>
    <w:rsid w:val="003A434A"/>
    <w:rsid w:val="003A66A6"/>
    <w:rsid w:val="003B0976"/>
    <w:rsid w:val="003B1417"/>
    <w:rsid w:val="003B4C34"/>
    <w:rsid w:val="003C645C"/>
    <w:rsid w:val="003D5E25"/>
    <w:rsid w:val="003F1B6F"/>
    <w:rsid w:val="003F6941"/>
    <w:rsid w:val="0040689B"/>
    <w:rsid w:val="00406F8C"/>
    <w:rsid w:val="00412841"/>
    <w:rsid w:val="0042327B"/>
    <w:rsid w:val="004413E2"/>
    <w:rsid w:val="004434E4"/>
    <w:rsid w:val="00444A98"/>
    <w:rsid w:val="00450E0E"/>
    <w:rsid w:val="00453816"/>
    <w:rsid w:val="0046612F"/>
    <w:rsid w:val="00480DBA"/>
    <w:rsid w:val="00481DAB"/>
    <w:rsid w:val="0049147A"/>
    <w:rsid w:val="00492F65"/>
    <w:rsid w:val="00495DD2"/>
    <w:rsid w:val="004A245C"/>
    <w:rsid w:val="004A2F2B"/>
    <w:rsid w:val="004B0081"/>
    <w:rsid w:val="004C2F7F"/>
    <w:rsid w:val="004C3D5F"/>
    <w:rsid w:val="004C48D0"/>
    <w:rsid w:val="004D0FBF"/>
    <w:rsid w:val="004D3B6C"/>
    <w:rsid w:val="004D7359"/>
    <w:rsid w:val="004E2FB3"/>
    <w:rsid w:val="004E666A"/>
    <w:rsid w:val="00502C6F"/>
    <w:rsid w:val="0052480D"/>
    <w:rsid w:val="00524C43"/>
    <w:rsid w:val="00534BB3"/>
    <w:rsid w:val="00540161"/>
    <w:rsid w:val="0054480B"/>
    <w:rsid w:val="00552443"/>
    <w:rsid w:val="00567F3E"/>
    <w:rsid w:val="00572892"/>
    <w:rsid w:val="00585CF1"/>
    <w:rsid w:val="00586A49"/>
    <w:rsid w:val="00587CDE"/>
    <w:rsid w:val="005D1861"/>
    <w:rsid w:val="005D7797"/>
    <w:rsid w:val="005E4F35"/>
    <w:rsid w:val="005E7894"/>
    <w:rsid w:val="005F0941"/>
    <w:rsid w:val="00610AAC"/>
    <w:rsid w:val="006125B9"/>
    <w:rsid w:val="00614BAD"/>
    <w:rsid w:val="006158A3"/>
    <w:rsid w:val="00616A54"/>
    <w:rsid w:val="00616F42"/>
    <w:rsid w:val="00617D27"/>
    <w:rsid w:val="0062260E"/>
    <w:rsid w:val="006306F3"/>
    <w:rsid w:val="00631D36"/>
    <w:rsid w:val="00635560"/>
    <w:rsid w:val="0063721E"/>
    <w:rsid w:val="006402CA"/>
    <w:rsid w:val="00642020"/>
    <w:rsid w:val="00653066"/>
    <w:rsid w:val="00653F7E"/>
    <w:rsid w:val="00657BB0"/>
    <w:rsid w:val="0066042E"/>
    <w:rsid w:val="00671E66"/>
    <w:rsid w:val="00681CE3"/>
    <w:rsid w:val="006822E2"/>
    <w:rsid w:val="006C4362"/>
    <w:rsid w:val="006C49FA"/>
    <w:rsid w:val="006C68FF"/>
    <w:rsid w:val="006D0C1F"/>
    <w:rsid w:val="006E56D1"/>
    <w:rsid w:val="0070518E"/>
    <w:rsid w:val="007166CF"/>
    <w:rsid w:val="0072441C"/>
    <w:rsid w:val="00737C03"/>
    <w:rsid w:val="00767BCB"/>
    <w:rsid w:val="00772177"/>
    <w:rsid w:val="00775ABD"/>
    <w:rsid w:val="00776B7A"/>
    <w:rsid w:val="00776E54"/>
    <w:rsid w:val="007847F0"/>
    <w:rsid w:val="007973C3"/>
    <w:rsid w:val="007A74C0"/>
    <w:rsid w:val="007B054F"/>
    <w:rsid w:val="007B0FF3"/>
    <w:rsid w:val="007C15C6"/>
    <w:rsid w:val="007C2FD8"/>
    <w:rsid w:val="007D00B3"/>
    <w:rsid w:val="007D7BF6"/>
    <w:rsid w:val="007D7D19"/>
    <w:rsid w:val="007D7E77"/>
    <w:rsid w:val="007E0547"/>
    <w:rsid w:val="007E41A8"/>
    <w:rsid w:val="007E448B"/>
    <w:rsid w:val="0080482A"/>
    <w:rsid w:val="00805200"/>
    <w:rsid w:val="00807AFC"/>
    <w:rsid w:val="008113C5"/>
    <w:rsid w:val="00817F8A"/>
    <w:rsid w:val="00821D97"/>
    <w:rsid w:val="00836BDC"/>
    <w:rsid w:val="00850425"/>
    <w:rsid w:val="008663A4"/>
    <w:rsid w:val="00867C29"/>
    <w:rsid w:val="008753D9"/>
    <w:rsid w:val="00881F99"/>
    <w:rsid w:val="00887C5F"/>
    <w:rsid w:val="008A56E8"/>
    <w:rsid w:val="008A629E"/>
    <w:rsid w:val="008A6A83"/>
    <w:rsid w:val="008A7D3D"/>
    <w:rsid w:val="008C0DA6"/>
    <w:rsid w:val="008D73C8"/>
    <w:rsid w:val="008E1A49"/>
    <w:rsid w:val="008E1DD0"/>
    <w:rsid w:val="008E5273"/>
    <w:rsid w:val="008F0070"/>
    <w:rsid w:val="008F7868"/>
    <w:rsid w:val="00900A7A"/>
    <w:rsid w:val="00905E3A"/>
    <w:rsid w:val="00906474"/>
    <w:rsid w:val="00911D35"/>
    <w:rsid w:val="009149F1"/>
    <w:rsid w:val="00914C1C"/>
    <w:rsid w:val="00917845"/>
    <w:rsid w:val="00933CBE"/>
    <w:rsid w:val="00960DB7"/>
    <w:rsid w:val="00977829"/>
    <w:rsid w:val="00981F33"/>
    <w:rsid w:val="009851D6"/>
    <w:rsid w:val="00986AA8"/>
    <w:rsid w:val="00997CA1"/>
    <w:rsid w:val="009A14D5"/>
    <w:rsid w:val="009A3A30"/>
    <w:rsid w:val="009A643C"/>
    <w:rsid w:val="009B6024"/>
    <w:rsid w:val="009B6348"/>
    <w:rsid w:val="009C1D99"/>
    <w:rsid w:val="009D0897"/>
    <w:rsid w:val="009D4230"/>
    <w:rsid w:val="009D4A1F"/>
    <w:rsid w:val="009D5FF9"/>
    <w:rsid w:val="009E3F70"/>
    <w:rsid w:val="009E52BD"/>
    <w:rsid w:val="00A075AC"/>
    <w:rsid w:val="00A304BF"/>
    <w:rsid w:val="00A33654"/>
    <w:rsid w:val="00A425A2"/>
    <w:rsid w:val="00A5023C"/>
    <w:rsid w:val="00A65A6F"/>
    <w:rsid w:val="00A6799E"/>
    <w:rsid w:val="00A67AE7"/>
    <w:rsid w:val="00A7156F"/>
    <w:rsid w:val="00A7448C"/>
    <w:rsid w:val="00A75B62"/>
    <w:rsid w:val="00A7746D"/>
    <w:rsid w:val="00A80F69"/>
    <w:rsid w:val="00A844B5"/>
    <w:rsid w:val="00AC5F58"/>
    <w:rsid w:val="00AC7463"/>
    <w:rsid w:val="00AC77C3"/>
    <w:rsid w:val="00AD7A84"/>
    <w:rsid w:val="00AE06AA"/>
    <w:rsid w:val="00AF2CC4"/>
    <w:rsid w:val="00AF66B8"/>
    <w:rsid w:val="00B0362E"/>
    <w:rsid w:val="00B04612"/>
    <w:rsid w:val="00B0625B"/>
    <w:rsid w:val="00B113EF"/>
    <w:rsid w:val="00B1164E"/>
    <w:rsid w:val="00B17FE5"/>
    <w:rsid w:val="00B204D3"/>
    <w:rsid w:val="00B20BBD"/>
    <w:rsid w:val="00B20FF6"/>
    <w:rsid w:val="00B35D1C"/>
    <w:rsid w:val="00B37943"/>
    <w:rsid w:val="00B449F7"/>
    <w:rsid w:val="00B80A18"/>
    <w:rsid w:val="00B812D1"/>
    <w:rsid w:val="00B85591"/>
    <w:rsid w:val="00BB0B08"/>
    <w:rsid w:val="00BB5D11"/>
    <w:rsid w:val="00BD25AB"/>
    <w:rsid w:val="00BD4617"/>
    <w:rsid w:val="00BD7C34"/>
    <w:rsid w:val="00BE036C"/>
    <w:rsid w:val="00BE1580"/>
    <w:rsid w:val="00BE5C2D"/>
    <w:rsid w:val="00C12E8E"/>
    <w:rsid w:val="00C2221D"/>
    <w:rsid w:val="00C30FE8"/>
    <w:rsid w:val="00C354ED"/>
    <w:rsid w:val="00C40928"/>
    <w:rsid w:val="00C436B7"/>
    <w:rsid w:val="00C5099A"/>
    <w:rsid w:val="00C57AA0"/>
    <w:rsid w:val="00C60B64"/>
    <w:rsid w:val="00CA3FE2"/>
    <w:rsid w:val="00CA5DBB"/>
    <w:rsid w:val="00CB7EC6"/>
    <w:rsid w:val="00CC47C2"/>
    <w:rsid w:val="00CC6660"/>
    <w:rsid w:val="00D16301"/>
    <w:rsid w:val="00D21359"/>
    <w:rsid w:val="00D26360"/>
    <w:rsid w:val="00D26BF8"/>
    <w:rsid w:val="00D31A8C"/>
    <w:rsid w:val="00D33936"/>
    <w:rsid w:val="00D47601"/>
    <w:rsid w:val="00D53F8D"/>
    <w:rsid w:val="00D754B0"/>
    <w:rsid w:val="00D820C2"/>
    <w:rsid w:val="00DA5E8E"/>
    <w:rsid w:val="00DB2E56"/>
    <w:rsid w:val="00DB50BD"/>
    <w:rsid w:val="00DC1238"/>
    <w:rsid w:val="00DC62A2"/>
    <w:rsid w:val="00DD11C7"/>
    <w:rsid w:val="00DD4ADD"/>
    <w:rsid w:val="00DF2CD3"/>
    <w:rsid w:val="00DF3946"/>
    <w:rsid w:val="00E00439"/>
    <w:rsid w:val="00E00EE6"/>
    <w:rsid w:val="00E0242B"/>
    <w:rsid w:val="00E051D7"/>
    <w:rsid w:val="00E07384"/>
    <w:rsid w:val="00E07420"/>
    <w:rsid w:val="00E1779E"/>
    <w:rsid w:val="00E179BC"/>
    <w:rsid w:val="00E22533"/>
    <w:rsid w:val="00E23C42"/>
    <w:rsid w:val="00E259E9"/>
    <w:rsid w:val="00E26DFB"/>
    <w:rsid w:val="00E34C95"/>
    <w:rsid w:val="00E37A44"/>
    <w:rsid w:val="00E47494"/>
    <w:rsid w:val="00E50D63"/>
    <w:rsid w:val="00E53F96"/>
    <w:rsid w:val="00E561B3"/>
    <w:rsid w:val="00E60E82"/>
    <w:rsid w:val="00E62825"/>
    <w:rsid w:val="00E641DA"/>
    <w:rsid w:val="00E675E8"/>
    <w:rsid w:val="00E767CA"/>
    <w:rsid w:val="00E833B6"/>
    <w:rsid w:val="00E92E49"/>
    <w:rsid w:val="00EA4468"/>
    <w:rsid w:val="00EC13CE"/>
    <w:rsid w:val="00EC39A4"/>
    <w:rsid w:val="00ED2B9D"/>
    <w:rsid w:val="00ED59B2"/>
    <w:rsid w:val="00ED5D82"/>
    <w:rsid w:val="00EE17C0"/>
    <w:rsid w:val="00EE3392"/>
    <w:rsid w:val="00EE76E4"/>
    <w:rsid w:val="00EE790F"/>
    <w:rsid w:val="00EF19FE"/>
    <w:rsid w:val="00EF7468"/>
    <w:rsid w:val="00EF7B05"/>
    <w:rsid w:val="00F0248E"/>
    <w:rsid w:val="00F4351E"/>
    <w:rsid w:val="00F5342D"/>
    <w:rsid w:val="00F606C5"/>
    <w:rsid w:val="00F85DA8"/>
    <w:rsid w:val="00F87245"/>
    <w:rsid w:val="00F966A1"/>
    <w:rsid w:val="00FA3C57"/>
    <w:rsid w:val="00FB5078"/>
    <w:rsid w:val="00FD5A5A"/>
    <w:rsid w:val="00FD6DED"/>
    <w:rsid w:val="00FE6B63"/>
    <w:rsid w:val="00FE6C44"/>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DABD82"/>
  <w15:docId w15:val="{72A640E9-F1CE-4370-9211-62EB46F1B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cs="Arial Unicode MS"/>
      <w:color w:val="000000"/>
      <w:sz w:val="24"/>
      <w:szCs w:val="24"/>
      <w:u w:color="000000"/>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Kopfzeile">
    <w:name w:val="header"/>
    <w:pPr>
      <w:tabs>
        <w:tab w:val="center" w:pos="4536"/>
        <w:tab w:val="right" w:pos="9072"/>
      </w:tabs>
    </w:pPr>
    <w:rPr>
      <w:rFonts w:cs="Arial Unicode MS"/>
      <w:color w:val="000000"/>
      <w:sz w:val="24"/>
      <w:szCs w:val="24"/>
      <w:u w:color="000000"/>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KeinLeerraum">
    <w:name w:val="No Spacing"/>
    <w:uiPriority w:val="1"/>
    <w:qFormat/>
    <w:rPr>
      <w:rFonts w:ascii="Calibri" w:eastAsia="Calibri" w:hAnsi="Calibri" w:cs="Calibri"/>
      <w:color w:val="000000"/>
      <w:sz w:val="22"/>
      <w:szCs w:val="22"/>
      <w:u w:color="000000"/>
    </w:rPr>
  </w:style>
  <w:style w:type="paragraph" w:customStyle="1" w:styleId="Default">
    <w:name w:val="Default"/>
    <w:rPr>
      <w:rFonts w:ascii="Helvetica Neue" w:eastAsia="Helvetica Neue" w:hAnsi="Helvetica Neue" w:cs="Helvetica Neue"/>
      <w:color w:val="000000"/>
      <w:sz w:val="22"/>
      <w:szCs w:val="22"/>
      <w:u w:color="000000"/>
    </w:rPr>
  </w:style>
  <w:style w:type="paragraph" w:styleId="StandardWeb">
    <w:name w:val="Normal (Web)"/>
    <w:uiPriority w:val="99"/>
    <w:pPr>
      <w:spacing w:before="100" w:after="100"/>
    </w:pPr>
    <w:rPr>
      <w:rFonts w:cs="Arial Unicode MS"/>
      <w:color w:val="000000"/>
      <w:sz w:val="24"/>
      <w:szCs w:val="24"/>
      <w:u w:color="000000"/>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rFonts w:cs="Arial Unicode MS"/>
      <w:color w:val="000000"/>
      <w:u w:color="000000"/>
      <w:lang w:val="en-US"/>
    </w:rPr>
  </w:style>
  <w:style w:type="character" w:styleId="Kommentarzeichen">
    <w:name w:val="annotation reference"/>
    <w:basedOn w:val="Absatz-Standardschriftart"/>
    <w:uiPriority w:val="99"/>
    <w:semiHidden/>
    <w:unhideWhenUsed/>
    <w:rPr>
      <w:sz w:val="16"/>
      <w:szCs w:val="16"/>
    </w:rPr>
  </w:style>
  <w:style w:type="paragraph" w:styleId="Sprechblasentext">
    <w:name w:val="Balloon Text"/>
    <w:basedOn w:val="Standard"/>
    <w:link w:val="SprechblasentextZchn"/>
    <w:uiPriority w:val="99"/>
    <w:semiHidden/>
    <w:unhideWhenUsed/>
    <w:rsid w:val="00D21359"/>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21359"/>
    <w:rPr>
      <w:rFonts w:ascii="Segoe UI" w:hAnsi="Segoe UI" w:cs="Segoe UI"/>
      <w:color w:val="000000"/>
      <w:sz w:val="18"/>
      <w:szCs w:val="18"/>
      <w:u w:color="000000"/>
      <w:lang w:val="en-US"/>
    </w:rPr>
  </w:style>
  <w:style w:type="paragraph" w:styleId="Fuzeile">
    <w:name w:val="footer"/>
    <w:basedOn w:val="Standard"/>
    <w:link w:val="FuzeileZchn"/>
    <w:uiPriority w:val="99"/>
    <w:unhideWhenUsed/>
    <w:rsid w:val="008F7868"/>
    <w:pPr>
      <w:tabs>
        <w:tab w:val="center" w:pos="4680"/>
        <w:tab w:val="right" w:pos="9360"/>
      </w:tabs>
    </w:pPr>
  </w:style>
  <w:style w:type="character" w:customStyle="1" w:styleId="FuzeileZchn">
    <w:name w:val="Fußzeile Zchn"/>
    <w:basedOn w:val="Absatz-Standardschriftart"/>
    <w:link w:val="Fuzeile"/>
    <w:uiPriority w:val="99"/>
    <w:rsid w:val="008F7868"/>
    <w:rPr>
      <w:rFonts w:cs="Arial Unicode MS"/>
      <w:color w:val="000000"/>
      <w:sz w:val="24"/>
      <w:szCs w:val="24"/>
      <w:u w:color="000000"/>
      <w:lang w:val="en-US"/>
    </w:rPr>
  </w:style>
  <w:style w:type="character" w:styleId="NichtaufgelsteErwhnung">
    <w:name w:val="Unresolved Mention"/>
    <w:basedOn w:val="Absatz-Standardschriftart"/>
    <w:uiPriority w:val="99"/>
    <w:semiHidden/>
    <w:unhideWhenUsed/>
    <w:rsid w:val="0052480D"/>
    <w:rPr>
      <w:color w:val="605E5C"/>
      <w:shd w:val="clear" w:color="auto" w:fill="E1DFDD"/>
    </w:rPr>
  </w:style>
  <w:style w:type="paragraph" w:styleId="Kommentarthema">
    <w:name w:val="annotation subject"/>
    <w:basedOn w:val="Kommentartext"/>
    <w:next w:val="Kommentartext"/>
    <w:link w:val="KommentarthemaZchn"/>
    <w:uiPriority w:val="99"/>
    <w:semiHidden/>
    <w:unhideWhenUsed/>
    <w:rsid w:val="00917845"/>
    <w:rPr>
      <w:b/>
      <w:bCs/>
    </w:rPr>
  </w:style>
  <w:style w:type="character" w:customStyle="1" w:styleId="KommentarthemaZchn">
    <w:name w:val="Kommentarthema Zchn"/>
    <w:basedOn w:val="KommentartextZchn"/>
    <w:link w:val="Kommentarthema"/>
    <w:uiPriority w:val="99"/>
    <w:semiHidden/>
    <w:rsid w:val="00917845"/>
    <w:rPr>
      <w:rFonts w:cs="Arial Unicode MS"/>
      <w:b/>
      <w:bCs/>
      <w:color w:val="000000"/>
      <w:u w:color="000000"/>
      <w:lang w:val="en-US"/>
    </w:rPr>
  </w:style>
  <w:style w:type="paragraph" w:styleId="berarbeitung">
    <w:name w:val="Revision"/>
    <w:hidden/>
    <w:uiPriority w:val="99"/>
    <w:semiHidden/>
    <w:rsid w:val="00DB50BD"/>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4"/>
      <w:szCs w:val="24"/>
      <w:u w:color="000000"/>
    </w:rPr>
  </w:style>
  <w:style w:type="paragraph" w:styleId="Listenabsatz">
    <w:name w:val="List Paragraph"/>
    <w:basedOn w:val="Standard"/>
    <w:uiPriority w:val="34"/>
    <w:qFormat/>
    <w:rsid w:val="004E2FB3"/>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ascii="Calibri" w:eastAsiaTheme="minorEastAsia" w:hAnsi="Calibri" w:cs="Times New Roman"/>
      <w:color w:val="auto"/>
      <w:sz w:val="22"/>
      <w:szCs w:val="22"/>
      <w:bdr w:val="none" w:sz="0" w:space="0" w:color="auto"/>
      <w:lang w:val="en-GB" w:eastAsia="en-US"/>
    </w:rPr>
  </w:style>
  <w:style w:type="character" w:styleId="BesuchterLink">
    <w:name w:val="FollowedHyperlink"/>
    <w:basedOn w:val="Absatz-Standardschriftart"/>
    <w:uiPriority w:val="99"/>
    <w:semiHidden/>
    <w:unhideWhenUsed/>
    <w:rsid w:val="009A14D5"/>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447662">
      <w:bodyDiv w:val="1"/>
      <w:marLeft w:val="0"/>
      <w:marRight w:val="0"/>
      <w:marTop w:val="0"/>
      <w:marBottom w:val="0"/>
      <w:divBdr>
        <w:top w:val="none" w:sz="0" w:space="0" w:color="auto"/>
        <w:left w:val="none" w:sz="0" w:space="0" w:color="auto"/>
        <w:bottom w:val="none" w:sz="0" w:space="0" w:color="auto"/>
        <w:right w:val="none" w:sz="0" w:space="0" w:color="auto"/>
      </w:divBdr>
      <w:divsChild>
        <w:div w:id="1847018405">
          <w:marLeft w:val="0"/>
          <w:marRight w:val="0"/>
          <w:marTop w:val="0"/>
          <w:marBottom w:val="0"/>
          <w:divBdr>
            <w:top w:val="single" w:sz="2" w:space="0" w:color="D9D9E3"/>
            <w:left w:val="single" w:sz="2" w:space="0" w:color="D9D9E3"/>
            <w:bottom w:val="single" w:sz="2" w:space="0" w:color="D9D9E3"/>
            <w:right w:val="single" w:sz="2" w:space="0" w:color="D9D9E3"/>
          </w:divBdr>
          <w:divsChild>
            <w:div w:id="413086149">
              <w:marLeft w:val="0"/>
              <w:marRight w:val="0"/>
              <w:marTop w:val="0"/>
              <w:marBottom w:val="0"/>
              <w:divBdr>
                <w:top w:val="single" w:sz="2" w:space="0" w:color="D9D9E3"/>
                <w:left w:val="single" w:sz="2" w:space="0" w:color="D9D9E3"/>
                <w:bottom w:val="single" w:sz="2" w:space="0" w:color="D9D9E3"/>
                <w:right w:val="single" w:sz="2" w:space="0" w:color="D9D9E3"/>
              </w:divBdr>
              <w:divsChild>
                <w:div w:id="1926262072">
                  <w:marLeft w:val="0"/>
                  <w:marRight w:val="0"/>
                  <w:marTop w:val="0"/>
                  <w:marBottom w:val="0"/>
                  <w:divBdr>
                    <w:top w:val="single" w:sz="2" w:space="0" w:color="D9D9E3"/>
                    <w:left w:val="single" w:sz="2" w:space="0" w:color="D9D9E3"/>
                    <w:bottom w:val="single" w:sz="2" w:space="0" w:color="D9D9E3"/>
                    <w:right w:val="single" w:sz="2" w:space="0" w:color="D9D9E3"/>
                  </w:divBdr>
                  <w:divsChild>
                    <w:div w:id="1383823748">
                      <w:marLeft w:val="0"/>
                      <w:marRight w:val="0"/>
                      <w:marTop w:val="0"/>
                      <w:marBottom w:val="0"/>
                      <w:divBdr>
                        <w:top w:val="single" w:sz="2" w:space="0" w:color="D9D9E3"/>
                        <w:left w:val="single" w:sz="2" w:space="0" w:color="D9D9E3"/>
                        <w:bottom w:val="single" w:sz="2" w:space="0" w:color="D9D9E3"/>
                        <w:right w:val="single" w:sz="2" w:space="0" w:color="D9D9E3"/>
                      </w:divBdr>
                      <w:divsChild>
                        <w:div w:id="913514260">
                          <w:marLeft w:val="0"/>
                          <w:marRight w:val="0"/>
                          <w:marTop w:val="0"/>
                          <w:marBottom w:val="0"/>
                          <w:divBdr>
                            <w:top w:val="single" w:sz="2" w:space="0" w:color="auto"/>
                            <w:left w:val="single" w:sz="2" w:space="0" w:color="auto"/>
                            <w:bottom w:val="single" w:sz="6" w:space="0" w:color="auto"/>
                            <w:right w:val="single" w:sz="2" w:space="0" w:color="auto"/>
                          </w:divBdr>
                          <w:divsChild>
                            <w:div w:id="1762026171">
                              <w:marLeft w:val="0"/>
                              <w:marRight w:val="0"/>
                              <w:marTop w:val="100"/>
                              <w:marBottom w:val="100"/>
                              <w:divBdr>
                                <w:top w:val="single" w:sz="2" w:space="0" w:color="D9D9E3"/>
                                <w:left w:val="single" w:sz="2" w:space="0" w:color="D9D9E3"/>
                                <w:bottom w:val="single" w:sz="2" w:space="0" w:color="D9D9E3"/>
                                <w:right w:val="single" w:sz="2" w:space="0" w:color="D9D9E3"/>
                              </w:divBdr>
                              <w:divsChild>
                                <w:div w:id="1690251477">
                                  <w:marLeft w:val="0"/>
                                  <w:marRight w:val="0"/>
                                  <w:marTop w:val="0"/>
                                  <w:marBottom w:val="0"/>
                                  <w:divBdr>
                                    <w:top w:val="single" w:sz="2" w:space="0" w:color="D9D9E3"/>
                                    <w:left w:val="single" w:sz="2" w:space="0" w:color="D9D9E3"/>
                                    <w:bottom w:val="single" w:sz="2" w:space="0" w:color="D9D9E3"/>
                                    <w:right w:val="single" w:sz="2" w:space="0" w:color="D9D9E3"/>
                                  </w:divBdr>
                                  <w:divsChild>
                                    <w:div w:id="242377134">
                                      <w:marLeft w:val="0"/>
                                      <w:marRight w:val="0"/>
                                      <w:marTop w:val="0"/>
                                      <w:marBottom w:val="0"/>
                                      <w:divBdr>
                                        <w:top w:val="single" w:sz="2" w:space="0" w:color="D9D9E3"/>
                                        <w:left w:val="single" w:sz="2" w:space="0" w:color="D9D9E3"/>
                                        <w:bottom w:val="single" w:sz="2" w:space="0" w:color="D9D9E3"/>
                                        <w:right w:val="single" w:sz="2" w:space="0" w:color="D9D9E3"/>
                                      </w:divBdr>
                                      <w:divsChild>
                                        <w:div w:id="292909571">
                                          <w:marLeft w:val="0"/>
                                          <w:marRight w:val="0"/>
                                          <w:marTop w:val="0"/>
                                          <w:marBottom w:val="0"/>
                                          <w:divBdr>
                                            <w:top w:val="single" w:sz="2" w:space="0" w:color="D9D9E3"/>
                                            <w:left w:val="single" w:sz="2" w:space="0" w:color="D9D9E3"/>
                                            <w:bottom w:val="single" w:sz="2" w:space="0" w:color="D9D9E3"/>
                                            <w:right w:val="single" w:sz="2" w:space="0" w:color="D9D9E3"/>
                                          </w:divBdr>
                                          <w:divsChild>
                                            <w:div w:id="1408377532">
                                              <w:marLeft w:val="0"/>
                                              <w:marRight w:val="0"/>
                                              <w:marTop w:val="0"/>
                                              <w:marBottom w:val="0"/>
                                              <w:divBdr>
                                                <w:top w:val="single" w:sz="2" w:space="0" w:color="D9D9E3"/>
                                                <w:left w:val="single" w:sz="2" w:space="0" w:color="D9D9E3"/>
                                                <w:bottom w:val="single" w:sz="2" w:space="0" w:color="D9D9E3"/>
                                                <w:right w:val="single" w:sz="2" w:space="0" w:color="D9D9E3"/>
                                              </w:divBdr>
                                              <w:divsChild>
                                                <w:div w:id="1273592389">
                                                  <w:marLeft w:val="0"/>
                                                  <w:marRight w:val="0"/>
                                                  <w:marTop w:val="0"/>
                                                  <w:marBottom w:val="0"/>
                                                  <w:divBdr>
                                                    <w:top w:val="single" w:sz="2" w:space="0" w:color="D9D9E3"/>
                                                    <w:left w:val="single" w:sz="2" w:space="0" w:color="D9D9E3"/>
                                                    <w:bottom w:val="single" w:sz="2" w:space="0" w:color="D9D9E3"/>
                                                    <w:right w:val="single" w:sz="2" w:space="0" w:color="D9D9E3"/>
                                                  </w:divBdr>
                                                  <w:divsChild>
                                                    <w:div w:id="11337885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74055003">
          <w:marLeft w:val="0"/>
          <w:marRight w:val="0"/>
          <w:marTop w:val="0"/>
          <w:marBottom w:val="0"/>
          <w:divBdr>
            <w:top w:val="none" w:sz="0" w:space="0" w:color="auto"/>
            <w:left w:val="none" w:sz="0" w:space="0" w:color="auto"/>
            <w:bottom w:val="none" w:sz="0" w:space="0" w:color="auto"/>
            <w:right w:val="none" w:sz="0" w:space="0" w:color="auto"/>
          </w:divBdr>
          <w:divsChild>
            <w:div w:id="1949659303">
              <w:marLeft w:val="0"/>
              <w:marRight w:val="0"/>
              <w:marTop w:val="0"/>
              <w:marBottom w:val="0"/>
              <w:divBdr>
                <w:top w:val="single" w:sz="2" w:space="0" w:color="D9D9E3"/>
                <w:left w:val="single" w:sz="2" w:space="0" w:color="D9D9E3"/>
                <w:bottom w:val="single" w:sz="2" w:space="0" w:color="D9D9E3"/>
                <w:right w:val="single" w:sz="2" w:space="0" w:color="D9D9E3"/>
              </w:divBdr>
              <w:divsChild>
                <w:div w:id="1947039531">
                  <w:marLeft w:val="0"/>
                  <w:marRight w:val="0"/>
                  <w:marTop w:val="0"/>
                  <w:marBottom w:val="0"/>
                  <w:divBdr>
                    <w:top w:val="single" w:sz="2" w:space="0" w:color="D9D9E3"/>
                    <w:left w:val="single" w:sz="2" w:space="0" w:color="D9D9E3"/>
                    <w:bottom w:val="single" w:sz="2" w:space="0" w:color="D9D9E3"/>
                    <w:right w:val="single" w:sz="2" w:space="0" w:color="D9D9E3"/>
                  </w:divBdr>
                  <w:divsChild>
                    <w:div w:id="1294287726">
                      <w:marLeft w:val="0"/>
                      <w:marRight w:val="0"/>
                      <w:marTop w:val="0"/>
                      <w:marBottom w:val="0"/>
                      <w:divBdr>
                        <w:top w:val="single" w:sz="2" w:space="0" w:color="D9D9E3"/>
                        <w:left w:val="single" w:sz="2" w:space="0" w:color="D9D9E3"/>
                        <w:bottom w:val="single" w:sz="2" w:space="0" w:color="D9D9E3"/>
                        <w:right w:val="single" w:sz="2" w:space="0" w:color="D9D9E3"/>
                      </w:divBdr>
                      <w:divsChild>
                        <w:div w:id="1950428542">
                          <w:marLeft w:val="0"/>
                          <w:marRight w:val="0"/>
                          <w:marTop w:val="0"/>
                          <w:marBottom w:val="0"/>
                          <w:divBdr>
                            <w:top w:val="single" w:sz="2" w:space="0" w:color="D9D9E3"/>
                            <w:left w:val="single" w:sz="2" w:space="0" w:color="D9D9E3"/>
                            <w:bottom w:val="single" w:sz="2" w:space="0" w:color="D9D9E3"/>
                            <w:right w:val="single" w:sz="2" w:space="0" w:color="D9D9E3"/>
                          </w:divBdr>
                          <w:divsChild>
                            <w:div w:id="216740667">
                              <w:marLeft w:val="0"/>
                              <w:marRight w:val="0"/>
                              <w:marTop w:val="0"/>
                              <w:marBottom w:val="0"/>
                              <w:divBdr>
                                <w:top w:val="single" w:sz="2" w:space="0" w:color="D9D9E3"/>
                                <w:left w:val="single" w:sz="2" w:space="0" w:color="D9D9E3"/>
                                <w:bottom w:val="single" w:sz="2" w:space="0" w:color="D9D9E3"/>
                                <w:right w:val="single" w:sz="2" w:space="0" w:color="D9D9E3"/>
                              </w:divBdr>
                              <w:divsChild>
                                <w:div w:id="7395224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1893006">
      <w:bodyDiv w:val="1"/>
      <w:marLeft w:val="0"/>
      <w:marRight w:val="0"/>
      <w:marTop w:val="0"/>
      <w:marBottom w:val="0"/>
      <w:divBdr>
        <w:top w:val="none" w:sz="0" w:space="0" w:color="auto"/>
        <w:left w:val="none" w:sz="0" w:space="0" w:color="auto"/>
        <w:bottom w:val="none" w:sz="0" w:space="0" w:color="auto"/>
        <w:right w:val="none" w:sz="0" w:space="0" w:color="auto"/>
      </w:divBdr>
    </w:div>
    <w:div w:id="284965418">
      <w:bodyDiv w:val="1"/>
      <w:marLeft w:val="0"/>
      <w:marRight w:val="0"/>
      <w:marTop w:val="0"/>
      <w:marBottom w:val="0"/>
      <w:divBdr>
        <w:top w:val="none" w:sz="0" w:space="0" w:color="auto"/>
        <w:left w:val="none" w:sz="0" w:space="0" w:color="auto"/>
        <w:bottom w:val="none" w:sz="0" w:space="0" w:color="auto"/>
        <w:right w:val="none" w:sz="0" w:space="0" w:color="auto"/>
      </w:divBdr>
    </w:div>
    <w:div w:id="330832760">
      <w:bodyDiv w:val="1"/>
      <w:marLeft w:val="0"/>
      <w:marRight w:val="0"/>
      <w:marTop w:val="0"/>
      <w:marBottom w:val="0"/>
      <w:divBdr>
        <w:top w:val="none" w:sz="0" w:space="0" w:color="auto"/>
        <w:left w:val="none" w:sz="0" w:space="0" w:color="auto"/>
        <w:bottom w:val="none" w:sz="0" w:space="0" w:color="auto"/>
        <w:right w:val="none" w:sz="0" w:space="0" w:color="auto"/>
      </w:divBdr>
    </w:div>
    <w:div w:id="407925605">
      <w:bodyDiv w:val="1"/>
      <w:marLeft w:val="0"/>
      <w:marRight w:val="0"/>
      <w:marTop w:val="0"/>
      <w:marBottom w:val="0"/>
      <w:divBdr>
        <w:top w:val="none" w:sz="0" w:space="0" w:color="auto"/>
        <w:left w:val="none" w:sz="0" w:space="0" w:color="auto"/>
        <w:bottom w:val="none" w:sz="0" w:space="0" w:color="auto"/>
        <w:right w:val="none" w:sz="0" w:space="0" w:color="auto"/>
      </w:divBdr>
    </w:div>
    <w:div w:id="556283599">
      <w:bodyDiv w:val="1"/>
      <w:marLeft w:val="0"/>
      <w:marRight w:val="0"/>
      <w:marTop w:val="0"/>
      <w:marBottom w:val="0"/>
      <w:divBdr>
        <w:top w:val="none" w:sz="0" w:space="0" w:color="auto"/>
        <w:left w:val="none" w:sz="0" w:space="0" w:color="auto"/>
        <w:bottom w:val="none" w:sz="0" w:space="0" w:color="auto"/>
        <w:right w:val="none" w:sz="0" w:space="0" w:color="auto"/>
      </w:divBdr>
    </w:div>
    <w:div w:id="556938883">
      <w:bodyDiv w:val="1"/>
      <w:marLeft w:val="0"/>
      <w:marRight w:val="0"/>
      <w:marTop w:val="0"/>
      <w:marBottom w:val="0"/>
      <w:divBdr>
        <w:top w:val="none" w:sz="0" w:space="0" w:color="auto"/>
        <w:left w:val="none" w:sz="0" w:space="0" w:color="auto"/>
        <w:bottom w:val="none" w:sz="0" w:space="0" w:color="auto"/>
        <w:right w:val="none" w:sz="0" w:space="0" w:color="auto"/>
      </w:divBdr>
    </w:div>
    <w:div w:id="640841629">
      <w:bodyDiv w:val="1"/>
      <w:marLeft w:val="0"/>
      <w:marRight w:val="0"/>
      <w:marTop w:val="0"/>
      <w:marBottom w:val="0"/>
      <w:divBdr>
        <w:top w:val="none" w:sz="0" w:space="0" w:color="auto"/>
        <w:left w:val="none" w:sz="0" w:space="0" w:color="auto"/>
        <w:bottom w:val="none" w:sz="0" w:space="0" w:color="auto"/>
        <w:right w:val="none" w:sz="0" w:space="0" w:color="auto"/>
      </w:divBdr>
    </w:div>
    <w:div w:id="763191286">
      <w:bodyDiv w:val="1"/>
      <w:marLeft w:val="0"/>
      <w:marRight w:val="0"/>
      <w:marTop w:val="0"/>
      <w:marBottom w:val="0"/>
      <w:divBdr>
        <w:top w:val="none" w:sz="0" w:space="0" w:color="auto"/>
        <w:left w:val="none" w:sz="0" w:space="0" w:color="auto"/>
        <w:bottom w:val="none" w:sz="0" w:space="0" w:color="auto"/>
        <w:right w:val="none" w:sz="0" w:space="0" w:color="auto"/>
      </w:divBdr>
      <w:divsChild>
        <w:div w:id="369376802">
          <w:marLeft w:val="0"/>
          <w:marRight w:val="0"/>
          <w:marTop w:val="0"/>
          <w:marBottom w:val="0"/>
          <w:divBdr>
            <w:top w:val="single" w:sz="2" w:space="0" w:color="D9D9E3"/>
            <w:left w:val="single" w:sz="2" w:space="0" w:color="D9D9E3"/>
            <w:bottom w:val="single" w:sz="2" w:space="0" w:color="D9D9E3"/>
            <w:right w:val="single" w:sz="2" w:space="0" w:color="D9D9E3"/>
          </w:divBdr>
          <w:divsChild>
            <w:div w:id="1056273930">
              <w:marLeft w:val="0"/>
              <w:marRight w:val="0"/>
              <w:marTop w:val="0"/>
              <w:marBottom w:val="0"/>
              <w:divBdr>
                <w:top w:val="single" w:sz="2" w:space="0" w:color="D9D9E3"/>
                <w:left w:val="single" w:sz="2" w:space="0" w:color="D9D9E3"/>
                <w:bottom w:val="single" w:sz="2" w:space="0" w:color="D9D9E3"/>
                <w:right w:val="single" w:sz="2" w:space="0" w:color="D9D9E3"/>
              </w:divBdr>
              <w:divsChild>
                <w:div w:id="32924474">
                  <w:marLeft w:val="0"/>
                  <w:marRight w:val="0"/>
                  <w:marTop w:val="0"/>
                  <w:marBottom w:val="0"/>
                  <w:divBdr>
                    <w:top w:val="single" w:sz="2" w:space="0" w:color="D9D9E3"/>
                    <w:left w:val="single" w:sz="2" w:space="0" w:color="D9D9E3"/>
                    <w:bottom w:val="single" w:sz="2" w:space="0" w:color="D9D9E3"/>
                    <w:right w:val="single" w:sz="2" w:space="0" w:color="D9D9E3"/>
                  </w:divBdr>
                  <w:divsChild>
                    <w:div w:id="1921981652">
                      <w:marLeft w:val="0"/>
                      <w:marRight w:val="0"/>
                      <w:marTop w:val="0"/>
                      <w:marBottom w:val="0"/>
                      <w:divBdr>
                        <w:top w:val="single" w:sz="2" w:space="0" w:color="D9D9E3"/>
                        <w:left w:val="single" w:sz="2" w:space="0" w:color="D9D9E3"/>
                        <w:bottom w:val="single" w:sz="2" w:space="0" w:color="D9D9E3"/>
                        <w:right w:val="single" w:sz="2" w:space="0" w:color="D9D9E3"/>
                      </w:divBdr>
                      <w:divsChild>
                        <w:div w:id="915020568">
                          <w:marLeft w:val="0"/>
                          <w:marRight w:val="0"/>
                          <w:marTop w:val="0"/>
                          <w:marBottom w:val="0"/>
                          <w:divBdr>
                            <w:top w:val="single" w:sz="2" w:space="0" w:color="auto"/>
                            <w:left w:val="single" w:sz="2" w:space="0" w:color="auto"/>
                            <w:bottom w:val="single" w:sz="6" w:space="0" w:color="auto"/>
                            <w:right w:val="single" w:sz="2" w:space="0" w:color="auto"/>
                          </w:divBdr>
                          <w:divsChild>
                            <w:div w:id="1070693176">
                              <w:marLeft w:val="0"/>
                              <w:marRight w:val="0"/>
                              <w:marTop w:val="100"/>
                              <w:marBottom w:val="100"/>
                              <w:divBdr>
                                <w:top w:val="single" w:sz="2" w:space="0" w:color="D9D9E3"/>
                                <w:left w:val="single" w:sz="2" w:space="0" w:color="D9D9E3"/>
                                <w:bottom w:val="single" w:sz="2" w:space="0" w:color="D9D9E3"/>
                                <w:right w:val="single" w:sz="2" w:space="0" w:color="D9D9E3"/>
                              </w:divBdr>
                              <w:divsChild>
                                <w:div w:id="435904073">
                                  <w:marLeft w:val="0"/>
                                  <w:marRight w:val="0"/>
                                  <w:marTop w:val="0"/>
                                  <w:marBottom w:val="0"/>
                                  <w:divBdr>
                                    <w:top w:val="single" w:sz="2" w:space="0" w:color="D9D9E3"/>
                                    <w:left w:val="single" w:sz="2" w:space="0" w:color="D9D9E3"/>
                                    <w:bottom w:val="single" w:sz="2" w:space="0" w:color="D9D9E3"/>
                                    <w:right w:val="single" w:sz="2" w:space="0" w:color="D9D9E3"/>
                                  </w:divBdr>
                                  <w:divsChild>
                                    <w:div w:id="1992295985">
                                      <w:marLeft w:val="0"/>
                                      <w:marRight w:val="0"/>
                                      <w:marTop w:val="0"/>
                                      <w:marBottom w:val="0"/>
                                      <w:divBdr>
                                        <w:top w:val="single" w:sz="2" w:space="0" w:color="D9D9E3"/>
                                        <w:left w:val="single" w:sz="2" w:space="0" w:color="D9D9E3"/>
                                        <w:bottom w:val="single" w:sz="2" w:space="0" w:color="D9D9E3"/>
                                        <w:right w:val="single" w:sz="2" w:space="0" w:color="D9D9E3"/>
                                      </w:divBdr>
                                      <w:divsChild>
                                        <w:div w:id="8139532">
                                          <w:marLeft w:val="0"/>
                                          <w:marRight w:val="0"/>
                                          <w:marTop w:val="0"/>
                                          <w:marBottom w:val="0"/>
                                          <w:divBdr>
                                            <w:top w:val="single" w:sz="2" w:space="0" w:color="D9D9E3"/>
                                            <w:left w:val="single" w:sz="2" w:space="0" w:color="D9D9E3"/>
                                            <w:bottom w:val="single" w:sz="2" w:space="0" w:color="D9D9E3"/>
                                            <w:right w:val="single" w:sz="2" w:space="0" w:color="D9D9E3"/>
                                          </w:divBdr>
                                          <w:divsChild>
                                            <w:div w:id="1708870681">
                                              <w:marLeft w:val="0"/>
                                              <w:marRight w:val="0"/>
                                              <w:marTop w:val="0"/>
                                              <w:marBottom w:val="0"/>
                                              <w:divBdr>
                                                <w:top w:val="single" w:sz="2" w:space="0" w:color="D9D9E3"/>
                                                <w:left w:val="single" w:sz="2" w:space="0" w:color="D9D9E3"/>
                                                <w:bottom w:val="single" w:sz="2" w:space="0" w:color="D9D9E3"/>
                                                <w:right w:val="single" w:sz="2" w:space="0" w:color="D9D9E3"/>
                                              </w:divBdr>
                                              <w:divsChild>
                                                <w:div w:id="1667171758">
                                                  <w:marLeft w:val="0"/>
                                                  <w:marRight w:val="0"/>
                                                  <w:marTop w:val="0"/>
                                                  <w:marBottom w:val="0"/>
                                                  <w:divBdr>
                                                    <w:top w:val="single" w:sz="2" w:space="0" w:color="D9D9E3"/>
                                                    <w:left w:val="single" w:sz="2" w:space="0" w:color="D9D9E3"/>
                                                    <w:bottom w:val="single" w:sz="2" w:space="0" w:color="D9D9E3"/>
                                                    <w:right w:val="single" w:sz="2" w:space="0" w:color="D9D9E3"/>
                                                  </w:divBdr>
                                                  <w:divsChild>
                                                    <w:div w:id="13834061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6319294">
          <w:marLeft w:val="0"/>
          <w:marRight w:val="0"/>
          <w:marTop w:val="0"/>
          <w:marBottom w:val="0"/>
          <w:divBdr>
            <w:top w:val="none" w:sz="0" w:space="0" w:color="auto"/>
            <w:left w:val="none" w:sz="0" w:space="0" w:color="auto"/>
            <w:bottom w:val="none" w:sz="0" w:space="0" w:color="auto"/>
            <w:right w:val="none" w:sz="0" w:space="0" w:color="auto"/>
          </w:divBdr>
        </w:div>
      </w:divsChild>
    </w:div>
    <w:div w:id="1003122126">
      <w:bodyDiv w:val="1"/>
      <w:marLeft w:val="0"/>
      <w:marRight w:val="0"/>
      <w:marTop w:val="0"/>
      <w:marBottom w:val="0"/>
      <w:divBdr>
        <w:top w:val="none" w:sz="0" w:space="0" w:color="auto"/>
        <w:left w:val="none" w:sz="0" w:space="0" w:color="auto"/>
        <w:bottom w:val="none" w:sz="0" w:space="0" w:color="auto"/>
        <w:right w:val="none" w:sz="0" w:space="0" w:color="auto"/>
      </w:divBdr>
    </w:div>
    <w:div w:id="1189678810">
      <w:bodyDiv w:val="1"/>
      <w:marLeft w:val="0"/>
      <w:marRight w:val="0"/>
      <w:marTop w:val="0"/>
      <w:marBottom w:val="0"/>
      <w:divBdr>
        <w:top w:val="none" w:sz="0" w:space="0" w:color="auto"/>
        <w:left w:val="none" w:sz="0" w:space="0" w:color="auto"/>
        <w:bottom w:val="none" w:sz="0" w:space="0" w:color="auto"/>
        <w:right w:val="none" w:sz="0" w:space="0" w:color="auto"/>
      </w:divBdr>
    </w:div>
    <w:div w:id="1406999261">
      <w:bodyDiv w:val="1"/>
      <w:marLeft w:val="0"/>
      <w:marRight w:val="0"/>
      <w:marTop w:val="0"/>
      <w:marBottom w:val="0"/>
      <w:divBdr>
        <w:top w:val="none" w:sz="0" w:space="0" w:color="auto"/>
        <w:left w:val="none" w:sz="0" w:space="0" w:color="auto"/>
        <w:bottom w:val="none" w:sz="0" w:space="0" w:color="auto"/>
        <w:right w:val="none" w:sz="0" w:space="0" w:color="auto"/>
      </w:divBdr>
    </w:div>
    <w:div w:id="1896155808">
      <w:bodyDiv w:val="1"/>
      <w:marLeft w:val="0"/>
      <w:marRight w:val="0"/>
      <w:marTop w:val="0"/>
      <w:marBottom w:val="0"/>
      <w:divBdr>
        <w:top w:val="none" w:sz="0" w:space="0" w:color="auto"/>
        <w:left w:val="none" w:sz="0" w:space="0" w:color="auto"/>
        <w:bottom w:val="none" w:sz="0" w:space="0" w:color="auto"/>
        <w:right w:val="none" w:sz="0" w:space="0" w:color="auto"/>
      </w:divBdr>
    </w:div>
    <w:div w:id="20295982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gc.dental/europe/de-D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gcdentalcampus.com/en/the-6-th-international-dental-symposiu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Larissa-Design">
  <a:themeElements>
    <a:clrScheme name="Larissa-Design">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Larissa-Design">
      <a:majorFont>
        <a:latin typeface="Helvetica Neue"/>
        <a:ea typeface="Helvetica Neue"/>
        <a:cs typeface="Helvetica Neue"/>
      </a:majorFont>
      <a:minorFont>
        <a:latin typeface="Helvetica Neue"/>
        <a:ea typeface="Helvetica Neue"/>
        <a:cs typeface="Helvetica Neue"/>
      </a:minorFont>
    </a:fontScheme>
    <a:fmtScheme name="Larissa-Design">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816678D39176F4AB711429C42B194F4" ma:contentTypeVersion="14" ma:contentTypeDescription="Ein neues Dokument erstellen." ma:contentTypeScope="" ma:versionID="90256502e7d9e42cab624e397986b7b1">
  <xsd:schema xmlns:xsd="http://www.w3.org/2001/XMLSchema" xmlns:xs="http://www.w3.org/2001/XMLSchema" xmlns:p="http://schemas.microsoft.com/office/2006/metadata/properties" xmlns:ns2="bd889dcb-fdb4-40d7-97b7-d3505bfbfaf0" xmlns:ns3="aa3a6efc-663d-47fe-9311-a882272ddd31" targetNamespace="http://schemas.microsoft.com/office/2006/metadata/properties" ma:root="true" ma:fieldsID="90506eaa58df59d9d63cc7ebc62cf82b" ns2:_="" ns3:_="">
    <xsd:import namespace="bd889dcb-fdb4-40d7-97b7-d3505bfbfaf0"/>
    <xsd:import namespace="aa3a6efc-663d-47fe-9311-a882272ddd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889dcb-fdb4-40d7-97b7-d3505bfbfa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ace398ed-f563-4533-8dea-c3eb04a4ffb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3a6efc-663d-47fe-9311-a882272ddd3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41cf597-ac19-4225-b8d8-d12f0e9ef537}" ma:internalName="TaxCatchAll" ma:showField="CatchAllData" ma:web="aa3a6efc-663d-47fe-9311-a882272dd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d889dcb-fdb4-40d7-97b7-d3505bfbfaf0">
      <Terms xmlns="http://schemas.microsoft.com/office/infopath/2007/PartnerControls"/>
    </lcf76f155ced4ddcb4097134ff3c332f>
    <TaxCatchAll xmlns="aa3a6efc-663d-47fe-9311-a882272ddd31" xsi:nil="true"/>
  </documentManagement>
</p:properties>
</file>

<file path=customXml/itemProps1.xml><?xml version="1.0" encoding="utf-8"?>
<ds:datastoreItem xmlns:ds="http://schemas.openxmlformats.org/officeDocument/2006/customXml" ds:itemID="{AD22D1C0-2202-49E0-BD10-095B28F843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889dcb-fdb4-40d7-97b7-d3505bfbfaf0"/>
    <ds:schemaRef ds:uri="aa3a6efc-663d-47fe-9311-a882272dd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E26288-493F-4442-994A-6C9F5534ED7E}">
  <ds:schemaRefs>
    <ds:schemaRef ds:uri="http://schemas.microsoft.com/sharepoint/v3/contenttype/forms"/>
  </ds:schemaRefs>
</ds:datastoreItem>
</file>

<file path=customXml/itemProps3.xml><?xml version="1.0" encoding="utf-8"?>
<ds:datastoreItem xmlns:ds="http://schemas.openxmlformats.org/officeDocument/2006/customXml" ds:itemID="{897804DC-6AF4-4D9D-80B9-C7A7641841CD}">
  <ds:schemaRefs>
    <ds:schemaRef ds:uri="http://schemas.microsoft.com/office/2006/metadata/properties"/>
    <ds:schemaRef ds:uri="http://schemas.microsoft.com/office/infopath/2007/PartnerControls"/>
    <ds:schemaRef ds:uri="bd889dcb-fdb4-40d7-97b7-d3505bfbfaf0"/>
    <ds:schemaRef ds:uri="aa3a6efc-663d-47fe-9311-a882272ddd3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1388</Words>
  <Characters>7917</Characters>
  <Application>Microsoft Office Word</Application>
  <DocSecurity>0</DocSecurity>
  <Lines>65</Lines>
  <Paragraphs>18</Paragraphs>
  <ScaleCrop>false</ScaleCrop>
  <HeadingPairs>
    <vt:vector size="6" baseType="variant">
      <vt:variant>
        <vt:lpstr>Naslov</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Humnig</dc:creator>
  <cp:keywords/>
  <dc:description/>
  <cp:lastModifiedBy>Humnig, Patrick</cp:lastModifiedBy>
  <cp:revision>2</cp:revision>
  <cp:lastPrinted>2020-01-21T15:04:00Z</cp:lastPrinted>
  <dcterms:created xsi:type="dcterms:W3CDTF">2026-08-16T20:49:00Z</dcterms:created>
  <dcterms:modified xsi:type="dcterms:W3CDTF">2026-08-16T20:49:00Z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0x010100E816678D39176F4AB711429C42B194F4</vt:lpwstr>
  </property>
  <property fmtid="{D5CDD505-2E9C-101B-9397-08002B2CF9AE}" pid="3" name="Order">
    <vt:r8>1574600</vt:r8>
  </property>
  <property fmtid="{D5CDD505-2E9C-101B-9397-08002B2CF9AE}" pid="4" name="MediaServiceImageTags">
    <vt:lpwstr/>
  </property>
</Properties>
</file>