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18CF19" w14:textId="7B0425DC" w:rsidR="004C48D0" w:rsidRPr="006643A4" w:rsidRDefault="004E2FB3" w:rsidP="00CB4A6D">
      <w:pPr>
        <w:spacing w:before="240" w:line="360" w:lineRule="auto"/>
        <w:ind w:left="-990" w:right="-868"/>
        <w:rPr>
          <w:rFonts w:ascii="Avenir Next LT Pro" w:eastAsia="Verdana" w:hAnsi="Avenir Next LT Pro" w:cs="Verdana"/>
          <w:b/>
          <w:bCs/>
          <w:color w:val="000000" w:themeColor="text1"/>
          <w:sz w:val="30"/>
          <w:szCs w:val="30"/>
          <w:lang w:val="en-GB"/>
        </w:rPr>
      </w:pPr>
      <w:r w:rsidRPr="006643A4">
        <w:rPr>
          <w:rFonts w:ascii="Avenir Next LT Pro" w:hAnsi="Avenir Next LT Pro"/>
          <w:b/>
          <w:bCs/>
          <w:noProof/>
          <w:color w:val="000000" w:themeColor="text1"/>
          <w:sz w:val="30"/>
          <w:szCs w:val="30"/>
          <w:lang w:val="en-GB"/>
        </w:rPr>
        <mc:AlternateContent>
          <mc:Choice Requires="wps">
            <w:drawing>
              <wp:anchor distT="0" distB="0" distL="114300" distR="114300" simplePos="0" relativeHeight="251653120" behindDoc="0" locked="0" layoutInCell="1" allowOverlap="1" wp14:anchorId="692D5677" wp14:editId="218965C5">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C11FC" id="Rectangle 21" o:spid="_x0000_s1026" style="position:absolute;margin-left:-9.3pt;margin-top:1.45pt;width:17pt;height:18.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r w:rsidR="00A304BF" w:rsidRPr="006643A4">
        <w:rPr>
          <w:rFonts w:ascii="Avenir Next LT Pro" w:hAnsi="Avenir Next LT Pro"/>
          <w:b/>
          <w:bCs/>
          <w:color w:val="000000" w:themeColor="text1"/>
          <w:sz w:val="30"/>
          <w:szCs w:val="30"/>
          <w:lang w:val="en-GB"/>
        </w:rPr>
        <w:t>Press release</w:t>
      </w:r>
    </w:p>
    <w:p w14:paraId="48A46925" w14:textId="77777777" w:rsidR="00637F45" w:rsidRDefault="00637F45" w:rsidP="00CB4A6D">
      <w:pPr>
        <w:spacing w:before="240" w:line="360" w:lineRule="auto"/>
        <w:ind w:left="-990" w:right="-868"/>
        <w:rPr>
          <w:rFonts w:ascii="Avenir Next LT Pro" w:eastAsia="Verdana" w:hAnsi="Avenir Next LT Pro" w:cs="Verdana"/>
          <w:b/>
          <w:bCs/>
          <w:color w:val="000000" w:themeColor="text1"/>
          <w:sz w:val="30"/>
          <w:szCs w:val="30"/>
        </w:rPr>
      </w:pPr>
      <w:r w:rsidRPr="00637F45">
        <w:rPr>
          <w:rFonts w:ascii="Avenir Next LT Pro" w:eastAsia="Verdana" w:hAnsi="Avenir Next LT Pro" w:cs="Verdana"/>
          <w:b/>
          <w:bCs/>
          <w:color w:val="000000" w:themeColor="text1"/>
          <w:sz w:val="30"/>
          <w:szCs w:val="30"/>
        </w:rPr>
        <w:t xml:space="preserve">Le GC International Dental Symposium, pour explorer </w:t>
      </w:r>
      <w:proofErr w:type="spellStart"/>
      <w:r w:rsidRPr="00637F45">
        <w:rPr>
          <w:rFonts w:ascii="Avenir Next LT Pro" w:eastAsia="Verdana" w:hAnsi="Avenir Next LT Pro" w:cs="Verdana"/>
          <w:b/>
          <w:bCs/>
          <w:color w:val="000000" w:themeColor="text1"/>
          <w:sz w:val="30"/>
          <w:szCs w:val="30"/>
        </w:rPr>
        <w:t>matériaux</w:t>
      </w:r>
      <w:proofErr w:type="spellEnd"/>
      <w:r w:rsidRPr="00637F45">
        <w:rPr>
          <w:rFonts w:ascii="Avenir Next LT Pro" w:eastAsia="Verdana" w:hAnsi="Avenir Next LT Pro" w:cs="Verdana"/>
          <w:b/>
          <w:bCs/>
          <w:color w:val="000000" w:themeColor="text1"/>
          <w:sz w:val="30"/>
          <w:szCs w:val="30"/>
        </w:rPr>
        <w:t xml:space="preserve"> et flux de travail </w:t>
      </w:r>
      <w:proofErr w:type="spellStart"/>
      <w:r w:rsidRPr="00637F45">
        <w:rPr>
          <w:rFonts w:ascii="Avenir Next LT Pro" w:eastAsia="Verdana" w:hAnsi="Avenir Next LT Pro" w:cs="Verdana"/>
          <w:b/>
          <w:bCs/>
          <w:color w:val="000000" w:themeColor="text1"/>
          <w:sz w:val="30"/>
          <w:szCs w:val="30"/>
        </w:rPr>
        <w:t>innovants</w:t>
      </w:r>
      <w:proofErr w:type="spellEnd"/>
    </w:p>
    <w:p w14:paraId="6E67E4E9"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b/>
          <w:bCs/>
          <w:color w:val="000000" w:themeColor="text1"/>
          <w:lang w:val="fr-FR"/>
        </w:rPr>
        <w:t xml:space="preserve">TOKYO, Japon </w:t>
      </w:r>
      <w:r w:rsidRPr="00421729">
        <w:rPr>
          <w:rFonts w:ascii="Avenir Next LT Pro" w:eastAsia="Verdana" w:hAnsi="Avenir Next LT Pro" w:cs="Verdana"/>
          <w:color w:val="000000" w:themeColor="text1"/>
          <w:lang w:val="fr-FR"/>
        </w:rPr>
        <w:t>: L’innovation en dentisterie est souvent discutée en termes de nouveaux produits. Toutefois, son importance clinique réside dans la manière dont les matériaux et les technologies modifient les décisions prises au fauteuil, au laboratoire et au sein de l’ensemble de l’équipe dentaire. Lors de la sixième édition du GC International Dental Symposium, qui se tiendra les 3 et 4 octobre au Tokyo International Forum, une série de conférences examinera comment les biomatériaux, les flux de travail numériques et les technologies restauratrices de nouvelle génération transforment la planification des traitements et les résultats cliniques.</w:t>
      </w:r>
    </w:p>
    <w:p w14:paraId="22C5BC4D"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Le symposium, organisé par GC Corp., réunira des professionnels dentaires du monde entier dans le cadre d’un programme scientifique et éducatif de deux jours, intégré à l’initiative plus large de l’entreprise intitulée “One Week of Excellence”. Les sessions consacrées à la science des matériaux et à la dentisterie numérique aborderont certaines des questions cliniques les plus importantes auxquelles les praticiens sont aujourd’hui confrontés, notamment la manière dont les systèmes adhésifs deviennent plus simples d’utilisation et plus fiables, ainsi que la façon dont les structures restauratrices renforcées pourraient élargir les possibilités d’un traitement direct.</w:t>
      </w:r>
    </w:p>
    <w:p w14:paraId="16D5A0FB"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Dans la session intitulée « Next-</w:t>
      </w:r>
      <w:proofErr w:type="spellStart"/>
      <w:r w:rsidRPr="00421729">
        <w:rPr>
          <w:rFonts w:ascii="Avenir Next LT Pro" w:eastAsia="Verdana" w:hAnsi="Avenir Next LT Pro" w:cs="Verdana"/>
          <w:color w:val="000000" w:themeColor="text1"/>
          <w:lang w:val="fr-FR"/>
        </w:rPr>
        <w:t>gen</w:t>
      </w:r>
      <w:proofErr w:type="spellEnd"/>
      <w:r w:rsidRPr="00421729">
        <w:rPr>
          <w:rFonts w:ascii="Avenir Next LT Pro" w:eastAsia="Verdana" w:hAnsi="Avenir Next LT Pro" w:cs="Verdana"/>
          <w:color w:val="000000" w:themeColor="text1"/>
          <w:lang w:val="fr-FR"/>
        </w:rPr>
        <w:t xml:space="preserve"> </w:t>
      </w:r>
      <w:proofErr w:type="spellStart"/>
      <w:r w:rsidRPr="00421729">
        <w:rPr>
          <w:rFonts w:ascii="Avenir Next LT Pro" w:eastAsia="Verdana" w:hAnsi="Avenir Next LT Pro" w:cs="Verdana"/>
          <w:color w:val="000000" w:themeColor="text1"/>
          <w:lang w:val="fr-FR"/>
        </w:rPr>
        <w:t>adhesives</w:t>
      </w:r>
      <w:proofErr w:type="spellEnd"/>
      <w:r w:rsidRPr="00421729">
        <w:rPr>
          <w:rFonts w:ascii="Avenir Next LT Pro" w:eastAsia="Verdana" w:hAnsi="Avenir Next LT Pro" w:cs="Verdana"/>
          <w:color w:val="000000" w:themeColor="text1"/>
          <w:lang w:val="fr-FR"/>
        </w:rPr>
        <w:t xml:space="preserve"> for direct and indirect </w:t>
      </w:r>
      <w:proofErr w:type="spellStart"/>
      <w:r w:rsidRPr="00421729">
        <w:rPr>
          <w:rFonts w:ascii="Avenir Next LT Pro" w:eastAsia="Verdana" w:hAnsi="Avenir Next LT Pro" w:cs="Verdana"/>
          <w:color w:val="000000" w:themeColor="text1"/>
          <w:lang w:val="fr-FR"/>
        </w:rPr>
        <w:t>restorations</w:t>
      </w:r>
      <w:proofErr w:type="spellEnd"/>
      <w:r w:rsidRPr="00421729">
        <w:rPr>
          <w:rFonts w:ascii="Avenir Next LT Pro" w:eastAsia="Verdana" w:hAnsi="Avenir Next LT Pro" w:cs="Verdana"/>
          <w:color w:val="000000" w:themeColor="text1"/>
          <w:lang w:val="fr-FR"/>
        </w:rPr>
        <w:t xml:space="preserve"> »      </w:t>
      </w:r>
      <w:proofErr w:type="gramStart"/>
      <w:r w:rsidRPr="00421729">
        <w:rPr>
          <w:rFonts w:ascii="Avenir Next LT Pro" w:eastAsia="Verdana" w:hAnsi="Avenir Next LT Pro" w:cs="Verdana"/>
          <w:color w:val="000000" w:themeColor="text1"/>
          <w:lang w:val="fr-FR"/>
        </w:rPr>
        <w:t xml:space="preserve">   (</w:t>
      </w:r>
      <w:proofErr w:type="gramEnd"/>
      <w:r w:rsidRPr="00421729">
        <w:rPr>
          <w:rFonts w:ascii="Avenir Next LT Pro" w:eastAsia="Verdana" w:hAnsi="Avenir Next LT Pro" w:cs="Verdana"/>
          <w:color w:val="000000" w:themeColor="text1"/>
          <w:lang w:val="fr-FR"/>
        </w:rPr>
        <w:t xml:space="preserve">« Adhésifs de nouvelle génération pour les restaurations directes et indirectes »), les intervenants, le Pr Bart Van Meerbeek, le Pr Roland Frankenberger et le Dr </w:t>
      </w:r>
      <w:r w:rsidRPr="00421729">
        <w:rPr>
          <w:rFonts w:ascii="Avenir Next LT Pro" w:eastAsia="Verdana" w:hAnsi="Avenir Next LT Pro" w:cs="Verdana"/>
          <w:color w:val="000000" w:themeColor="text1"/>
          <w:lang w:val="fr-FR"/>
        </w:rPr>
        <w:lastRenderedPageBreak/>
        <w:t>Toshiki Takamizawa, aborderont l’un des aspects les plus courants mais aussi les plus essentiels de la pratique restauratrice : l’adhésion.</w:t>
      </w:r>
    </w:p>
    <w:p w14:paraId="1C8D69D8"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Le Pr Frankenberger a déclaré à Dental Tribune International que la prochaine génération d’adhésifs dentaires doit être envisagée à la lumière de trois décennies de progrès majeurs. Fort de 32 ans de recherches précliniques et cliniques sur les adhésifs et les composites à base de résine, il a souligné que l’idée longtemps répandue selon laquelle les systèmes adhésifs de plusieurs étapes constituent la référence absolue ne reflète plus la réalité clinique actuelle.</w:t>
      </w:r>
    </w:p>
    <w:p w14:paraId="782240D5"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 Les adhésifs universels sont supérieurs aux générations précédentes, surtout pour les restaurations indirectes », a déclaré le professeur Frankenberger. Cette évolution </w:t>
      </w:r>
      <w:proofErr w:type="gramStart"/>
      <w:r w:rsidRPr="00421729">
        <w:rPr>
          <w:rFonts w:ascii="Avenir Next LT Pro" w:eastAsia="Verdana" w:hAnsi="Avenir Next LT Pro" w:cs="Verdana"/>
          <w:color w:val="000000" w:themeColor="text1"/>
          <w:lang w:val="fr-FR"/>
        </w:rPr>
        <w:t>a</w:t>
      </w:r>
      <w:proofErr w:type="gramEnd"/>
      <w:r w:rsidRPr="00421729">
        <w:rPr>
          <w:rFonts w:ascii="Avenir Next LT Pro" w:eastAsia="Verdana" w:hAnsi="Avenir Next LT Pro" w:cs="Verdana"/>
          <w:color w:val="000000" w:themeColor="text1"/>
          <w:lang w:val="fr-FR"/>
        </w:rPr>
        <w:t xml:space="preserve"> des répercussions concrètes sur la pratique quotidienne de la dentisterie : des temps d’application plus courts peuvent réduire les risques de contamination pendant la procédure, tandis que des protocoles simplifiés contribuent à rendre les procédures d’adhésion plus efficaces et plus prévisibles.</w:t>
      </w:r>
    </w:p>
    <w:p w14:paraId="001EF49A"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Toutefois, le Pr Frankenberger estime que les améliorations les plus importantes à venir concerneront peut-être moins les performances maximales que la tolérance technique des systèmes adhésifs. Il a expliqué :</w:t>
      </w:r>
    </w:p>
    <w:p w14:paraId="3E9A78D5"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 Tout le monde sait à quel point l’application clinique de l’adhésif est délicate. C’est pourquoi la tolérance à l’humidité et l’aspect “opérateur tolérant” restent des éléments essentiels. Si la manière dont le praticien souffle ou sèche l’adhésif n’a plus d’incidence sur le résultat final, alors on pourra véritablement parler d’une avancée significative. </w:t>
      </w:r>
    </w:p>
    <w:p w14:paraId="5B31B97C"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Le Pr Frankenberger a souligné que les résultats cliniques à long terme restent le véritable critère d’évaluation des systèmes adhésifs. Cette perspective à long terme a orienté ses recherches, notamment en ce qui concerne la fatigue des </w:t>
      </w:r>
      <w:r w:rsidRPr="00421729">
        <w:rPr>
          <w:rFonts w:ascii="Avenir Next LT Pro" w:eastAsia="Verdana" w:hAnsi="Avenir Next LT Pro" w:cs="Verdana"/>
          <w:color w:val="000000" w:themeColor="text1"/>
          <w:lang w:val="fr-FR"/>
        </w:rPr>
        <w:lastRenderedPageBreak/>
        <w:t>adhésifs et l’évolution clinique des systèmes de collage. « Internet regorge de résultats initiaux à l’esthétique spectaculaire, mais je me suis également concentré sur le long terme », a-t-il souligné.</w:t>
      </w:r>
    </w:p>
    <w:p w14:paraId="1DA5B02D"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Il a également rappelé que les systèmes adhésifs actuels bénéficient des améliorations parallèles apportées </w:t>
      </w:r>
      <w:proofErr w:type="gramStart"/>
      <w:r w:rsidRPr="00421729">
        <w:rPr>
          <w:rFonts w:ascii="Avenir Next LT Pro" w:eastAsia="Verdana" w:hAnsi="Avenir Next LT Pro" w:cs="Verdana"/>
          <w:color w:val="000000" w:themeColor="text1"/>
          <w:lang w:val="fr-FR"/>
        </w:rPr>
        <w:t>aux résine composites</w:t>
      </w:r>
      <w:proofErr w:type="gramEnd"/>
      <w:r w:rsidRPr="00421729">
        <w:rPr>
          <w:rFonts w:ascii="Avenir Next LT Pro" w:eastAsia="Verdana" w:hAnsi="Avenir Next LT Pro" w:cs="Verdana"/>
          <w:color w:val="000000" w:themeColor="text1"/>
          <w:lang w:val="fr-FR"/>
        </w:rPr>
        <w:t>. Les composites modernes génèrent une rétraction de polymérisation nettement plus faibles que ceux utilisés il y a plusieurs décennies, réduisant la charge imposée aux adhésifs. « Par rapport à l’époque où j’étais étudiant, les composites présentent aujourd’hui un retrait 50 % inférieur. C’est une amélioration considérable », a-t-il déclaré.</w:t>
      </w:r>
    </w:p>
    <w:p w14:paraId="786477ED"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Pour les praticiens, l’association d’un faible retrait de polymérisation et d’un collage fiable contribue à expliquer les excellents résultats à long terme observés aujourd’hui.</w:t>
      </w:r>
    </w:p>
    <w:p w14:paraId="276F285D" w14:textId="77777777" w:rsidR="00421729" w:rsidRPr="00421729" w:rsidRDefault="00421729" w:rsidP="00421729">
      <w:pPr>
        <w:spacing w:before="240" w:line="360" w:lineRule="auto"/>
        <w:ind w:left="-990" w:right="-868"/>
        <w:rPr>
          <w:rFonts w:ascii="Avenir Next LT Pro" w:eastAsia="Verdana" w:hAnsi="Avenir Next LT Pro" w:cs="Verdana"/>
          <w:b/>
          <w:bCs/>
          <w:color w:val="000000" w:themeColor="text1"/>
          <w:sz w:val="28"/>
          <w:szCs w:val="28"/>
          <w:lang w:val="fr-FR"/>
        </w:rPr>
      </w:pPr>
      <w:r w:rsidRPr="00421729">
        <w:rPr>
          <w:rFonts w:ascii="Avenir Next LT Pro" w:eastAsia="Verdana" w:hAnsi="Avenir Next LT Pro" w:cs="Verdana"/>
          <w:b/>
          <w:bCs/>
          <w:color w:val="000000" w:themeColor="text1"/>
          <w:sz w:val="28"/>
          <w:szCs w:val="28"/>
          <w:lang w:val="fr-FR"/>
        </w:rPr>
        <w:t>Un changement plus large dans la dentisterie</w:t>
      </w:r>
    </w:p>
    <w:p w14:paraId="6E6C4868"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Les concepts émergents en matière de matériaux seront également abordés lors de la session « Orientations futures des matériaux dentaires : de l’intelligence bioactive aux structures renforcées et aux technologies avancées », avec la participation du Pr Ricardo Carvalho, du Pr Pekka Vallittu, du Pr Satoshi Imazato et du Dr James Tsoi.</w:t>
      </w:r>
    </w:p>
    <w:p w14:paraId="4B22A8B4"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L’intervention du Pr Vallittu portera sur le renforcement des fibres et sur la manière dont les structures composites renforcées peuvent transformer la prise de décision en dentisterie restauratrice.</w:t>
      </w:r>
    </w:p>
    <w:p w14:paraId="0BAEE307"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Le Pr Vallittu a expliqué à Dental Tribune International que les traitements utilisant des composites renforcés par fibres reposent sur les propriétés de renforcement des fibres de verre, et non uniquement sur les charges traditionnelles. Cette </w:t>
      </w:r>
      <w:r w:rsidRPr="00421729">
        <w:rPr>
          <w:rFonts w:ascii="Avenir Next LT Pro" w:eastAsia="Verdana" w:hAnsi="Avenir Next LT Pro" w:cs="Verdana"/>
          <w:color w:val="000000" w:themeColor="text1"/>
          <w:lang w:val="fr-FR"/>
        </w:rPr>
        <w:lastRenderedPageBreak/>
        <w:t xml:space="preserve">approche est particulièrement pertinente pour les larges restaurations composites directes ainsi que pour la restauration directe des dents traitées </w:t>
      </w:r>
      <w:proofErr w:type="spellStart"/>
      <w:r w:rsidRPr="00421729">
        <w:rPr>
          <w:rFonts w:ascii="Avenir Next LT Pro" w:eastAsia="Verdana" w:hAnsi="Avenir Next LT Pro" w:cs="Verdana"/>
          <w:color w:val="000000" w:themeColor="text1"/>
          <w:lang w:val="fr-FR"/>
        </w:rPr>
        <w:t>endodontiquement</w:t>
      </w:r>
      <w:proofErr w:type="spellEnd"/>
      <w:r w:rsidRPr="00421729">
        <w:rPr>
          <w:rFonts w:ascii="Avenir Next LT Pro" w:eastAsia="Verdana" w:hAnsi="Avenir Next LT Pro" w:cs="Verdana"/>
          <w:color w:val="000000" w:themeColor="text1"/>
          <w:lang w:val="fr-FR"/>
        </w:rPr>
        <w:t xml:space="preserve"> (après traitement de canal).</w:t>
      </w:r>
    </w:p>
    <w:p w14:paraId="4F482AA8"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Selon lui, en obturant le canal radiculaire avec un composite renforcé en fibres, les praticiens peuvent créer « un </w:t>
      </w:r>
      <w:proofErr w:type="spellStart"/>
      <w:r w:rsidRPr="00421729">
        <w:rPr>
          <w:rFonts w:ascii="Avenir Next LT Pro" w:eastAsia="Verdana" w:hAnsi="Avenir Next LT Pro" w:cs="Verdana"/>
          <w:color w:val="000000" w:themeColor="text1"/>
          <w:lang w:val="fr-FR"/>
        </w:rPr>
        <w:t>core</w:t>
      </w:r>
      <w:proofErr w:type="spellEnd"/>
      <w:r w:rsidRPr="00421729">
        <w:rPr>
          <w:rFonts w:ascii="Avenir Next LT Pro" w:eastAsia="Verdana" w:hAnsi="Avenir Next LT Pro" w:cs="Verdana"/>
          <w:color w:val="000000" w:themeColor="text1"/>
          <w:lang w:val="fr-FR"/>
        </w:rPr>
        <w:t xml:space="preserve"> hautement résistant pour la couronne composite », constituant ainsi ce qu’il décrit comme « un système d’</w:t>
      </w:r>
      <w:proofErr w:type="spellStart"/>
      <w:r w:rsidRPr="00421729">
        <w:rPr>
          <w:rFonts w:ascii="Avenir Next LT Pro" w:eastAsia="Verdana" w:hAnsi="Avenir Next LT Pro" w:cs="Verdana"/>
          <w:color w:val="000000" w:themeColor="text1"/>
          <w:lang w:val="fr-FR"/>
        </w:rPr>
        <w:t>endocouronne</w:t>
      </w:r>
      <w:proofErr w:type="spellEnd"/>
      <w:r w:rsidRPr="00421729">
        <w:rPr>
          <w:rFonts w:ascii="Avenir Next LT Pro" w:eastAsia="Verdana" w:hAnsi="Avenir Next LT Pro" w:cs="Verdana"/>
          <w:color w:val="000000" w:themeColor="text1"/>
          <w:lang w:val="fr-FR"/>
        </w:rPr>
        <w:t xml:space="preserve"> directe » (direct </w:t>
      </w:r>
      <w:proofErr w:type="spellStart"/>
      <w:r w:rsidRPr="00421729">
        <w:rPr>
          <w:rFonts w:ascii="Avenir Next LT Pro" w:eastAsia="Verdana" w:hAnsi="Avenir Next LT Pro" w:cs="Verdana"/>
          <w:color w:val="000000" w:themeColor="text1"/>
          <w:lang w:val="fr-FR"/>
        </w:rPr>
        <w:t>endocrown</w:t>
      </w:r>
      <w:proofErr w:type="spellEnd"/>
      <w:r w:rsidRPr="00421729">
        <w:rPr>
          <w:rFonts w:ascii="Avenir Next LT Pro" w:eastAsia="Verdana" w:hAnsi="Avenir Next LT Pro" w:cs="Verdana"/>
          <w:color w:val="000000" w:themeColor="text1"/>
          <w:lang w:val="fr-FR"/>
        </w:rPr>
        <w:t xml:space="preserve"> system).</w:t>
      </w:r>
    </w:p>
    <w:p w14:paraId="787F30D6"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Pour les praticiens, cette approche pourrait élargir l’éventail des cas pouvant être traités de manière directe et conservatrice. Des dents qui auraient auparavant été considérées comme nécessitant des restaurations indirectes peuvent, dans certaines situations, être restaurées par des techniques directes durables.</w:t>
      </w:r>
    </w:p>
    <w:p w14:paraId="4281853E"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Toutefois, les implications de cette évolution vont au-delà de la restauration unitaire. Les systèmes à fibres longues peuvent être utilisés pour la réalisation de bridges et de contentions/attelles (</w:t>
      </w:r>
      <w:proofErr w:type="spellStart"/>
      <w:r w:rsidRPr="00421729">
        <w:rPr>
          <w:rFonts w:ascii="Avenir Next LT Pro" w:eastAsia="Verdana" w:hAnsi="Avenir Next LT Pro" w:cs="Verdana"/>
          <w:color w:val="000000" w:themeColor="text1"/>
          <w:lang w:val="fr-FR"/>
        </w:rPr>
        <w:t>splints</w:t>
      </w:r>
      <w:proofErr w:type="spellEnd"/>
      <w:r w:rsidRPr="00421729">
        <w:rPr>
          <w:rFonts w:ascii="Avenir Next LT Pro" w:eastAsia="Verdana" w:hAnsi="Avenir Next LT Pro" w:cs="Verdana"/>
          <w:color w:val="000000" w:themeColor="text1"/>
          <w:lang w:val="fr-FR"/>
        </w:rPr>
        <w:t>), tandis que les composites à fibres courtes peuvent améliorer l’ancrage de ces fibres longues à la structure dentaire.</w:t>
      </w:r>
    </w:p>
    <w:p w14:paraId="7DE16CF8"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Selon le Pr Vallittu, « cette intégration est en train d’estomper la frontière entre la dentisterie restauratrice et la dentisterie prothétique ». </w:t>
      </w:r>
    </w:p>
    <w:p w14:paraId="4214084A"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Le succès clinique, toutefois, dépend du respect de principes fondamentaux. Selon le Pr Vallittu, la quantité et la position du composite renforcé en fibres devraient correspondre approximativement au volume et à l’emplacement de la dentine présente avant que la dent ne soit endommagée.</w:t>
      </w:r>
    </w:p>
    <w:p w14:paraId="158ED773"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De plus, l’utilisation d’adhésifs de haute qualité, un mordançage sélectif de l’émail et une photopolymérisation adéquate sont des facteurs essentiels qui contribuent au succès de toutes les restaurations en composite »</w:t>
      </w:r>
    </w:p>
    <w:p w14:paraId="23EC2514"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lastRenderedPageBreak/>
        <w:t xml:space="preserve">D’autres perspectives sur les matériaux innovants et les flux de travail seront </w:t>
      </w:r>
      <w:proofErr w:type="gramStart"/>
      <w:r w:rsidRPr="00421729">
        <w:rPr>
          <w:rFonts w:ascii="Avenir Next LT Pro" w:eastAsia="Verdana" w:hAnsi="Avenir Next LT Pro" w:cs="Verdana"/>
          <w:color w:val="000000" w:themeColor="text1"/>
          <w:lang w:val="fr-FR"/>
        </w:rPr>
        <w:t>présentées</w:t>
      </w:r>
      <w:proofErr w:type="gramEnd"/>
      <w:r w:rsidRPr="00421729">
        <w:rPr>
          <w:rFonts w:ascii="Avenir Next LT Pro" w:eastAsia="Verdana" w:hAnsi="Avenir Next LT Pro" w:cs="Verdana"/>
          <w:color w:val="000000" w:themeColor="text1"/>
          <w:lang w:val="fr-FR"/>
        </w:rPr>
        <w:t xml:space="preserve"> lors de sessions consacrées à l’évolution des matériaux d’augmentation osseuse ainsi qu’à la validation des flux de travail numérique et prothétique.</w:t>
      </w:r>
    </w:p>
    <w:p w14:paraId="355742FD"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La session intitulée « Un matériau innovant pour l’augmentation osseuse : l’apatite carbonatée en pratique clinique, portée par la science et éprouvée dans la réalité » réunira le Dr Paul S. </w:t>
      </w:r>
      <w:proofErr w:type="spellStart"/>
      <w:r w:rsidRPr="00421729">
        <w:rPr>
          <w:rFonts w:ascii="Avenir Next LT Pro" w:eastAsia="Verdana" w:hAnsi="Avenir Next LT Pro" w:cs="Verdana"/>
          <w:color w:val="000000" w:themeColor="text1"/>
          <w:lang w:val="fr-FR"/>
        </w:rPr>
        <w:t>Rosen</w:t>
      </w:r>
      <w:proofErr w:type="spellEnd"/>
      <w:r w:rsidRPr="00421729">
        <w:rPr>
          <w:rFonts w:ascii="Avenir Next LT Pro" w:eastAsia="Verdana" w:hAnsi="Avenir Next LT Pro" w:cs="Verdana"/>
          <w:color w:val="000000" w:themeColor="text1"/>
          <w:lang w:val="fr-FR"/>
        </w:rPr>
        <w:t>, aux côtés des Professeurs Shinya Murakami, Anton Sculean et Hom-Lay Wang.</w:t>
      </w:r>
    </w:p>
    <w:p w14:paraId="2E9E7F6E"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La dimension numérique de l’utilisation des matériaux sera explorée au cours de deux sessions examinant le lien entre le diagnostic numérique, la conception prothétique et la sélection des matériaux. Pour les équipes dentaires, cette interface revêt une importance croissante : les flux de travail numériques ne sont plus dissociés des décisions relatives aux matériaux, mais deviennent au contraire un élément central de la planification, de la fabrication et de la mise en place des restaurations.</w:t>
      </w:r>
    </w:p>
    <w:p w14:paraId="118B63AC"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Sous le titre « L’interface numérique–matériaux : flux de travail validés du diagnostic à la prothèse », une première session consacrée aux facettes réunira la Pr Reinhilde Jacobs, le Dr Anthony Mak et le Dr Mahmoud Ezzat Ghazi. Une seconde session, axée sur les prothèses dentaires amovibles, réunira la Pr Jacobs, le Pr Manabu Kanazawa et la Dr Elisabetta Bellia.</w:t>
      </w:r>
    </w:p>
    <w:p w14:paraId="3CE819AA" w14:textId="77777777" w:rsidR="00421729" w:rsidRPr="00421729" w:rsidRDefault="00421729" w:rsidP="00421729">
      <w:pPr>
        <w:spacing w:before="240" w:line="360" w:lineRule="auto"/>
        <w:ind w:left="-990" w:right="-868"/>
        <w:rPr>
          <w:rFonts w:ascii="Avenir Next LT Pro" w:eastAsia="Verdana" w:hAnsi="Avenir Next LT Pro" w:cs="Verdana"/>
          <w:b/>
          <w:bCs/>
          <w:color w:val="000000" w:themeColor="text1"/>
          <w:sz w:val="28"/>
          <w:szCs w:val="28"/>
          <w:lang w:val="fr-FR"/>
        </w:rPr>
      </w:pPr>
      <w:r w:rsidRPr="00421729">
        <w:rPr>
          <w:rFonts w:ascii="Avenir Next LT Pro" w:eastAsia="Verdana" w:hAnsi="Avenir Next LT Pro" w:cs="Verdana"/>
          <w:b/>
          <w:bCs/>
          <w:color w:val="000000" w:themeColor="text1"/>
          <w:sz w:val="28"/>
          <w:szCs w:val="28"/>
          <w:lang w:val="fr-FR"/>
        </w:rPr>
        <w:t>Une semaine d’excellence</w:t>
      </w:r>
    </w:p>
    <w:p w14:paraId="2F2D666D"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À l’occasion du sixième GC International Dental Symposium, GC invite les professionnels dentaires du monde entier à se rendre à Tokyo pour participer à sa          </w:t>
      </w:r>
      <w:proofErr w:type="gramStart"/>
      <w:r w:rsidRPr="00421729">
        <w:rPr>
          <w:rFonts w:ascii="Avenir Next LT Pro" w:eastAsia="Verdana" w:hAnsi="Avenir Next LT Pro" w:cs="Verdana"/>
          <w:color w:val="000000" w:themeColor="text1"/>
          <w:lang w:val="fr-FR"/>
        </w:rPr>
        <w:t xml:space="preserve">   «</w:t>
      </w:r>
      <w:proofErr w:type="gramEnd"/>
      <w:r w:rsidRPr="00421729">
        <w:rPr>
          <w:rFonts w:ascii="Avenir Next LT Pro" w:eastAsia="Verdana" w:hAnsi="Avenir Next LT Pro" w:cs="Verdana"/>
          <w:color w:val="000000" w:themeColor="text1"/>
          <w:lang w:val="fr-FR"/>
        </w:rPr>
        <w:t xml:space="preserve"> Semaine de l’excellence » (One Week of Excellence).</w:t>
      </w:r>
    </w:p>
    <w:p w14:paraId="7BBF2B00"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lastRenderedPageBreak/>
        <w:t xml:space="preserve">Outre le programme scientifique de deux jours comprenant 72 conférences, cette semaine proposera également des ateliers pratiques, des événements sociaux et des activités culturelles organisées, notamment des visites de Tokyo et de la ville montagneuse de </w:t>
      </w:r>
      <w:proofErr w:type="spellStart"/>
      <w:r w:rsidRPr="00421729">
        <w:rPr>
          <w:rFonts w:ascii="Avenir Next LT Pro" w:eastAsia="Verdana" w:hAnsi="Avenir Next LT Pro" w:cs="Verdana"/>
          <w:color w:val="000000" w:themeColor="text1"/>
          <w:lang w:val="fr-FR"/>
        </w:rPr>
        <w:t>Nikkō</w:t>
      </w:r>
      <w:proofErr w:type="spellEnd"/>
      <w:r w:rsidRPr="00421729">
        <w:rPr>
          <w:rFonts w:ascii="Avenir Next LT Pro" w:eastAsia="Verdana" w:hAnsi="Avenir Next LT Pro" w:cs="Verdana"/>
          <w:color w:val="000000" w:themeColor="text1"/>
          <w:lang w:val="fr-FR"/>
        </w:rPr>
        <w:t>.</w:t>
      </w:r>
    </w:p>
    <w:p w14:paraId="6FE1A32C"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Les participants pourront obtenir jusqu’à 54 crédits de formation continue, dont 12 crédits issus des conférences du symposium et 42 crédits obtenus lors des ateliers.</w:t>
      </w:r>
    </w:p>
    <w:p w14:paraId="3E3DB8B5"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Le symposium bénéficiera d’une traduction simultanée en japonais et en anglais.</w:t>
      </w:r>
    </w:p>
    <w:p w14:paraId="60E3DCFB" w14:textId="356E715F"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De plus amples informations sur le programme et les modalités d’inscription sont disponibles sur le site web de l’événement. </w:t>
      </w:r>
      <w:proofErr w:type="gramStart"/>
      <w:r w:rsidRPr="00421729">
        <w:rPr>
          <w:rFonts w:ascii="Avenir Next LT Pro" w:eastAsia="Verdana" w:hAnsi="Avenir Next LT Pro" w:cs="Verdana"/>
          <w:color w:val="000000" w:themeColor="text1"/>
          <w:lang w:val="fr-FR"/>
        </w:rPr>
        <w:t>the</w:t>
      </w:r>
      <w:proofErr w:type="gramEnd"/>
      <w:r w:rsidRPr="00421729">
        <w:rPr>
          <w:rFonts w:ascii="Avenir Next LT Pro" w:eastAsia="Verdana" w:hAnsi="Avenir Next LT Pro" w:cs="Verdana"/>
          <w:color w:val="000000" w:themeColor="text1"/>
          <w:lang w:val="fr-FR"/>
        </w:rPr>
        <w:t xml:space="preserve"> </w:t>
      </w:r>
      <w:proofErr w:type="spellStart"/>
      <w:r w:rsidRPr="00421729">
        <w:rPr>
          <w:rFonts w:ascii="Avenir Next LT Pro" w:eastAsia="Verdana" w:hAnsi="Avenir Next LT Pro" w:cs="Verdana"/>
          <w:color w:val="000000" w:themeColor="text1"/>
          <w:lang w:val="fr-FR"/>
        </w:rPr>
        <w:t>event</w:t>
      </w:r>
      <w:proofErr w:type="spellEnd"/>
      <w:r w:rsidRPr="00421729">
        <w:rPr>
          <w:rFonts w:ascii="Avenir Next LT Pro" w:eastAsia="Verdana" w:hAnsi="Avenir Next LT Pro" w:cs="Verdana"/>
          <w:color w:val="000000" w:themeColor="text1"/>
          <w:lang w:val="fr-FR"/>
        </w:rPr>
        <w:t xml:space="preserve"> </w:t>
      </w:r>
      <w:proofErr w:type="spellStart"/>
      <w:r w:rsidRPr="00421729">
        <w:rPr>
          <w:rFonts w:ascii="Avenir Next LT Pro" w:eastAsia="Verdana" w:hAnsi="Avenir Next LT Pro" w:cs="Verdana"/>
          <w:color w:val="000000" w:themeColor="text1"/>
          <w:lang w:val="fr-FR"/>
        </w:rPr>
        <w:t>website</w:t>
      </w:r>
      <w:proofErr w:type="spellEnd"/>
      <w:r>
        <w:rPr>
          <w:rFonts w:ascii="Avenir Next LT Pro" w:eastAsia="Verdana" w:hAnsi="Avenir Next LT Pro" w:cs="Verdana"/>
          <w:color w:val="000000" w:themeColor="text1"/>
          <w:lang w:val="fr-FR"/>
        </w:rPr>
        <w:t xml:space="preserve"> : </w:t>
      </w:r>
      <w:hyperlink r:id="rId10" w:history="1">
        <w:r w:rsidR="00566EB0" w:rsidRPr="00566EB0">
          <w:rPr>
            <w:rStyle w:val="Hyperlink"/>
            <w:rFonts w:ascii="Avenir Next LT Pro" w:eastAsia="Verdana" w:hAnsi="Avenir Next LT Pro" w:cs="Verdana"/>
            <w:lang w:val="fr-FR"/>
          </w:rPr>
          <w:t>www.gcdentalcampus.com/en/the-6-th-international-dental-symposium</w:t>
        </w:r>
      </w:hyperlink>
      <w:r w:rsidRPr="00421729">
        <w:rPr>
          <w:rFonts w:ascii="Avenir Next LT Pro" w:eastAsia="Verdana" w:hAnsi="Avenir Next LT Pro" w:cs="Verdana"/>
          <w:color w:val="000000" w:themeColor="text1"/>
          <w:lang w:val="fr-FR"/>
        </w:rPr>
        <w:t>.</w:t>
      </w:r>
    </w:p>
    <w:p w14:paraId="20A1723C" w14:textId="77777777"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p>
    <w:p w14:paraId="6CA83499" w14:textId="7D34968A"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Légendes :</w:t>
      </w:r>
    </w:p>
    <w:p w14:paraId="0BF6B265" w14:textId="39A735E6" w:rsidR="00421729" w:rsidRPr="00421729" w:rsidRDefault="00566EB0"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hAnsi="Avenir Next LT Pro"/>
          <w:noProof/>
          <w:color w:val="000000" w:themeColor="text1"/>
          <w:spacing w:val="5"/>
          <w:kern w:val="28"/>
        </w:rPr>
        <w:drawing>
          <wp:anchor distT="0" distB="0" distL="114300" distR="114300" simplePos="0" relativeHeight="251658240" behindDoc="0" locked="0" layoutInCell="1" allowOverlap="1" wp14:anchorId="1E532DF0" wp14:editId="467B1916">
            <wp:simplePos x="0" y="0"/>
            <wp:positionH relativeFrom="column">
              <wp:posOffset>-581025</wp:posOffset>
            </wp:positionH>
            <wp:positionV relativeFrom="paragraph">
              <wp:posOffset>161925</wp:posOffset>
            </wp:positionV>
            <wp:extent cx="1394460" cy="1511300"/>
            <wp:effectExtent l="0" t="0" r="0" b="0"/>
            <wp:wrapSquare wrapText="bothSides"/>
            <wp:docPr id="3158685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68543" name="Grafik 3158685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4460" cy="1511300"/>
                    </a:xfrm>
                    <a:prstGeom prst="rect">
                      <a:avLst/>
                    </a:prstGeom>
                  </pic:spPr>
                </pic:pic>
              </a:graphicData>
            </a:graphic>
            <wp14:sizeRelH relativeFrom="margin">
              <wp14:pctWidth>0</wp14:pctWidth>
            </wp14:sizeRelH>
            <wp14:sizeRelV relativeFrom="margin">
              <wp14:pctHeight>0</wp14:pctHeight>
            </wp14:sizeRelV>
          </wp:anchor>
        </w:drawing>
      </w:r>
      <w:r w:rsidR="00421729" w:rsidRPr="00421729">
        <w:rPr>
          <w:rFonts w:ascii="Avenir Next LT Pro" w:eastAsia="Verdana" w:hAnsi="Avenir Next LT Pro" w:cs="Verdana"/>
          <w:color w:val="000000" w:themeColor="text1"/>
          <w:lang w:val="fr-FR"/>
        </w:rPr>
        <w:t>À Tokyo, l’intervention du Pr Pekka Vallittu portera sur le renforcement par fibres et sur la manière dont les structures composites renforcées peuvent transformer la prise de décision en dentisterie restauratrice.</w:t>
      </w:r>
    </w:p>
    <w:p w14:paraId="56600473" w14:textId="7330FD12" w:rsidR="00566EB0"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 (Image : Pr Pekka Vallittu)</w:t>
      </w:r>
    </w:p>
    <w:p w14:paraId="54A81791" w14:textId="396983EA" w:rsidR="00421729" w:rsidRPr="00421729" w:rsidRDefault="00566EB0"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hAnsi="Avenir Next LT Pro"/>
          <w:noProof/>
          <w:color w:val="000000" w:themeColor="text1"/>
          <w:spacing w:val="5"/>
          <w:kern w:val="28"/>
        </w:rPr>
        <w:drawing>
          <wp:anchor distT="0" distB="0" distL="114300" distR="114300" simplePos="0" relativeHeight="251662336" behindDoc="0" locked="0" layoutInCell="1" allowOverlap="1" wp14:anchorId="036F4C71" wp14:editId="352C6E74">
            <wp:simplePos x="0" y="0"/>
            <wp:positionH relativeFrom="column">
              <wp:posOffset>-552450</wp:posOffset>
            </wp:positionH>
            <wp:positionV relativeFrom="paragraph">
              <wp:posOffset>167005</wp:posOffset>
            </wp:positionV>
            <wp:extent cx="1339850" cy="1734185"/>
            <wp:effectExtent l="0" t="0" r="0" b="0"/>
            <wp:wrapSquare wrapText="bothSides"/>
            <wp:docPr id="7177993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99346" name="Grafik 7177993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9850" cy="1734185"/>
                    </a:xfrm>
                    <a:prstGeom prst="rect">
                      <a:avLst/>
                    </a:prstGeom>
                  </pic:spPr>
                </pic:pic>
              </a:graphicData>
            </a:graphic>
            <wp14:sizeRelH relativeFrom="margin">
              <wp14:pctWidth>0</wp14:pctWidth>
            </wp14:sizeRelH>
            <wp14:sizeRelV relativeFrom="margin">
              <wp14:pctHeight>0</wp14:pctHeight>
            </wp14:sizeRelV>
          </wp:anchor>
        </w:drawing>
      </w:r>
      <w:r w:rsidR="00421729" w:rsidRPr="00421729">
        <w:rPr>
          <w:rFonts w:ascii="Avenir Next LT Pro" w:eastAsia="Verdana" w:hAnsi="Avenir Next LT Pro" w:cs="Verdana"/>
          <w:color w:val="000000" w:themeColor="text1"/>
          <w:lang w:val="fr-FR"/>
        </w:rPr>
        <w:t>Lors du sixième GC International Dental Symposium, le Pr Roland Frankenberger présentera les adhésifs de nouvelle génération destinés aux restaurations directes et indirectes.</w:t>
      </w:r>
    </w:p>
    <w:p w14:paraId="4F9CF330" w14:textId="51F335D8"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t xml:space="preserve"> (Image : Pr Roland Frankenberger)</w:t>
      </w:r>
    </w:p>
    <w:p w14:paraId="532A464A" w14:textId="485BE0A0"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p>
    <w:p w14:paraId="17D75429" w14:textId="0B0BFD92" w:rsidR="00421729" w:rsidRPr="00421729" w:rsidRDefault="00421729" w:rsidP="00421729">
      <w:pPr>
        <w:spacing w:before="240" w:line="360" w:lineRule="auto"/>
        <w:ind w:left="-990" w:right="-868"/>
        <w:rPr>
          <w:rFonts w:ascii="Avenir Next LT Pro" w:eastAsia="Verdana" w:hAnsi="Avenir Next LT Pro" w:cs="Verdana"/>
          <w:color w:val="000000" w:themeColor="text1"/>
          <w:lang w:val="fr-FR"/>
        </w:rPr>
      </w:pPr>
      <w:r w:rsidRPr="00421729">
        <w:rPr>
          <w:rFonts w:ascii="Avenir Next LT Pro" w:eastAsia="Verdana" w:hAnsi="Avenir Next LT Pro" w:cs="Verdana"/>
          <w:color w:val="000000" w:themeColor="text1"/>
          <w:lang w:val="fr-FR"/>
        </w:rPr>
        <w:lastRenderedPageBreak/>
        <w:t>Organisé par GC Corp., le sixième GC International Dental Symposium réunira des professionnels dentaires du monde entier autour d’un programme scientifique et pédagogique de deux jours.</w:t>
      </w:r>
    </w:p>
    <w:p w14:paraId="698BF0A5" w14:textId="1667D398" w:rsidR="00566EB0" w:rsidRPr="00421729" w:rsidRDefault="00421729" w:rsidP="00566EB0">
      <w:pPr>
        <w:spacing w:before="240" w:line="360" w:lineRule="auto"/>
        <w:ind w:left="-990" w:right="-868"/>
        <w:rPr>
          <w:rStyle w:val="Hyperlink"/>
          <w:rFonts w:ascii="Avenir Next LT Pro" w:eastAsia="Verdana" w:hAnsi="Avenir Next LT Pro" w:cs="Verdana"/>
          <w:color w:val="000000" w:themeColor="text1"/>
          <w:u w:val="none"/>
          <w:lang w:val="en-GB"/>
        </w:rPr>
      </w:pPr>
      <w:r w:rsidRPr="00566EB0">
        <w:rPr>
          <w:rFonts w:ascii="Avenir Next LT Pro" w:eastAsia="Verdana" w:hAnsi="Avenir Next LT Pro" w:cs="Verdana"/>
          <w:color w:val="000000" w:themeColor="text1"/>
        </w:rPr>
        <w:t xml:space="preserve"> </w:t>
      </w:r>
    </w:p>
    <w:p w14:paraId="4BDBEE31" w14:textId="0DC5210D" w:rsidR="00CC419B" w:rsidRPr="00421729" w:rsidRDefault="00CC419B" w:rsidP="00CB4A6D">
      <w:pPr>
        <w:spacing w:before="240" w:line="360" w:lineRule="auto"/>
        <w:ind w:left="-990" w:right="-868"/>
        <w:rPr>
          <w:rStyle w:val="Hyperlink"/>
          <w:rFonts w:ascii="Avenir Next LT Pro" w:eastAsia="Verdana" w:hAnsi="Avenir Next LT Pro" w:cs="Verdana"/>
          <w:color w:val="000000" w:themeColor="text1"/>
          <w:u w:val="none"/>
          <w:lang w:val="en-GB"/>
        </w:rPr>
      </w:pPr>
    </w:p>
    <w:sectPr w:rsidR="00CC419B" w:rsidRPr="00421729" w:rsidSect="00375891">
      <w:headerReference w:type="default" r:id="rId13"/>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2A62" w14:textId="77777777" w:rsidR="00AA07B8" w:rsidRDefault="00AA07B8">
      <w:r>
        <w:separator/>
      </w:r>
    </w:p>
  </w:endnote>
  <w:endnote w:type="continuationSeparator" w:id="0">
    <w:p w14:paraId="6B0D011B" w14:textId="77777777" w:rsidR="00AA07B8" w:rsidRDefault="00AA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BD6D" w14:textId="77777777" w:rsidR="00AA07B8" w:rsidRDefault="00AA07B8">
      <w:r>
        <w:separator/>
      </w:r>
    </w:p>
  </w:footnote>
  <w:footnote w:type="continuationSeparator" w:id="0">
    <w:p w14:paraId="7242D840" w14:textId="77777777" w:rsidR="00AA07B8" w:rsidRDefault="00AA0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Default="002A1F4F">
    <w:pPr>
      <w:pStyle w:val="Header"/>
      <w:tabs>
        <w:tab w:val="clear" w:pos="9072"/>
        <w:tab w:val="right" w:pos="7842"/>
      </w:tabs>
    </w:pPr>
    <w:r>
      <w:rPr>
        <w:noProof/>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93476298" name="Picture 93476298"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011641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64DE"/>
    <w:rsid w:val="0001042E"/>
    <w:rsid w:val="00014D2C"/>
    <w:rsid w:val="000207F2"/>
    <w:rsid w:val="00022CFD"/>
    <w:rsid w:val="00027E69"/>
    <w:rsid w:val="000455B2"/>
    <w:rsid w:val="00045DA8"/>
    <w:rsid w:val="00046D80"/>
    <w:rsid w:val="000517FE"/>
    <w:rsid w:val="000578B1"/>
    <w:rsid w:val="000713AA"/>
    <w:rsid w:val="00076EC4"/>
    <w:rsid w:val="000800FA"/>
    <w:rsid w:val="000861F8"/>
    <w:rsid w:val="000878FC"/>
    <w:rsid w:val="000A485C"/>
    <w:rsid w:val="000A7D73"/>
    <w:rsid w:val="000B0125"/>
    <w:rsid w:val="000C3B2B"/>
    <w:rsid w:val="000D1716"/>
    <w:rsid w:val="000E4999"/>
    <w:rsid w:val="000F2A55"/>
    <w:rsid w:val="00102286"/>
    <w:rsid w:val="00106786"/>
    <w:rsid w:val="00107638"/>
    <w:rsid w:val="00112618"/>
    <w:rsid w:val="001157A8"/>
    <w:rsid w:val="00116E35"/>
    <w:rsid w:val="00125EB9"/>
    <w:rsid w:val="0014534A"/>
    <w:rsid w:val="0016511A"/>
    <w:rsid w:val="00167D45"/>
    <w:rsid w:val="00176AEF"/>
    <w:rsid w:val="001B0EA6"/>
    <w:rsid w:val="001B35D6"/>
    <w:rsid w:val="001B5343"/>
    <w:rsid w:val="001B5373"/>
    <w:rsid w:val="001C1388"/>
    <w:rsid w:val="001D6856"/>
    <w:rsid w:val="001E2384"/>
    <w:rsid w:val="001E3E8C"/>
    <w:rsid w:val="001F6EF0"/>
    <w:rsid w:val="00203AFB"/>
    <w:rsid w:val="00203E9C"/>
    <w:rsid w:val="00204E47"/>
    <w:rsid w:val="00206A13"/>
    <w:rsid w:val="002107C7"/>
    <w:rsid w:val="00236B8D"/>
    <w:rsid w:val="00242D61"/>
    <w:rsid w:val="00247359"/>
    <w:rsid w:val="00247AB7"/>
    <w:rsid w:val="00252505"/>
    <w:rsid w:val="002649B6"/>
    <w:rsid w:val="00270FCD"/>
    <w:rsid w:val="00276CD5"/>
    <w:rsid w:val="00281E40"/>
    <w:rsid w:val="00283337"/>
    <w:rsid w:val="00291EEA"/>
    <w:rsid w:val="002974A2"/>
    <w:rsid w:val="002A1F4F"/>
    <w:rsid w:val="002A3D1C"/>
    <w:rsid w:val="002A4426"/>
    <w:rsid w:val="002C389F"/>
    <w:rsid w:val="002D47E2"/>
    <w:rsid w:val="002F390A"/>
    <w:rsid w:val="003042DF"/>
    <w:rsid w:val="00305CA6"/>
    <w:rsid w:val="00312F6E"/>
    <w:rsid w:val="00315091"/>
    <w:rsid w:val="00317321"/>
    <w:rsid w:val="00321DE6"/>
    <w:rsid w:val="0032290E"/>
    <w:rsid w:val="00325206"/>
    <w:rsid w:val="00327168"/>
    <w:rsid w:val="00351E27"/>
    <w:rsid w:val="00356741"/>
    <w:rsid w:val="003602A1"/>
    <w:rsid w:val="00360843"/>
    <w:rsid w:val="00366D42"/>
    <w:rsid w:val="00375891"/>
    <w:rsid w:val="00390C9F"/>
    <w:rsid w:val="003A434A"/>
    <w:rsid w:val="003A43CF"/>
    <w:rsid w:val="003B1404"/>
    <w:rsid w:val="003B1417"/>
    <w:rsid w:val="003B2BD4"/>
    <w:rsid w:val="003B4C34"/>
    <w:rsid w:val="003C34C8"/>
    <w:rsid w:val="003C645C"/>
    <w:rsid w:val="003D01E9"/>
    <w:rsid w:val="003D34D0"/>
    <w:rsid w:val="003D5E25"/>
    <w:rsid w:val="003D747E"/>
    <w:rsid w:val="003F1B6F"/>
    <w:rsid w:val="003F28BA"/>
    <w:rsid w:val="00412841"/>
    <w:rsid w:val="004161DF"/>
    <w:rsid w:val="00421729"/>
    <w:rsid w:val="004256CA"/>
    <w:rsid w:val="00426EDA"/>
    <w:rsid w:val="0043690C"/>
    <w:rsid w:val="00436D5D"/>
    <w:rsid w:val="004413E2"/>
    <w:rsid w:val="00444A98"/>
    <w:rsid w:val="00452A44"/>
    <w:rsid w:val="00453816"/>
    <w:rsid w:val="0045674B"/>
    <w:rsid w:val="00456F59"/>
    <w:rsid w:val="00474392"/>
    <w:rsid w:val="00480DBA"/>
    <w:rsid w:val="00481B63"/>
    <w:rsid w:val="00481DAB"/>
    <w:rsid w:val="00490941"/>
    <w:rsid w:val="0049147A"/>
    <w:rsid w:val="00492F65"/>
    <w:rsid w:val="004958AE"/>
    <w:rsid w:val="00495DD2"/>
    <w:rsid w:val="004A245C"/>
    <w:rsid w:val="004B41D2"/>
    <w:rsid w:val="004B6241"/>
    <w:rsid w:val="004C3D5F"/>
    <w:rsid w:val="004C48D0"/>
    <w:rsid w:val="004C582E"/>
    <w:rsid w:val="004D0FBF"/>
    <w:rsid w:val="004D3B6C"/>
    <w:rsid w:val="004D6F35"/>
    <w:rsid w:val="004E2FB3"/>
    <w:rsid w:val="00502C6F"/>
    <w:rsid w:val="00505D67"/>
    <w:rsid w:val="0051001A"/>
    <w:rsid w:val="0052480D"/>
    <w:rsid w:val="00533A3B"/>
    <w:rsid w:val="00540467"/>
    <w:rsid w:val="00543AEC"/>
    <w:rsid w:val="00552443"/>
    <w:rsid w:val="00553334"/>
    <w:rsid w:val="00566EB0"/>
    <w:rsid w:val="00567F3E"/>
    <w:rsid w:val="00572892"/>
    <w:rsid w:val="00574741"/>
    <w:rsid w:val="0058288B"/>
    <w:rsid w:val="00587CDE"/>
    <w:rsid w:val="00591E21"/>
    <w:rsid w:val="005A365C"/>
    <w:rsid w:val="005C5EED"/>
    <w:rsid w:val="005D1861"/>
    <w:rsid w:val="005D562A"/>
    <w:rsid w:val="005D7797"/>
    <w:rsid w:val="005E7894"/>
    <w:rsid w:val="005F1CDD"/>
    <w:rsid w:val="00610AAC"/>
    <w:rsid w:val="006118F5"/>
    <w:rsid w:val="006125B9"/>
    <w:rsid w:val="00614BAD"/>
    <w:rsid w:val="006155A5"/>
    <w:rsid w:val="00616A54"/>
    <w:rsid w:val="00616A77"/>
    <w:rsid w:val="00616F42"/>
    <w:rsid w:val="00617D27"/>
    <w:rsid w:val="00631D36"/>
    <w:rsid w:val="0063721E"/>
    <w:rsid w:val="00637F45"/>
    <w:rsid w:val="00641C27"/>
    <w:rsid w:val="00642020"/>
    <w:rsid w:val="006552E8"/>
    <w:rsid w:val="006573BC"/>
    <w:rsid w:val="00657BB0"/>
    <w:rsid w:val="0066042E"/>
    <w:rsid w:val="006616BC"/>
    <w:rsid w:val="00663B73"/>
    <w:rsid w:val="006643A4"/>
    <w:rsid w:val="00671E66"/>
    <w:rsid w:val="00681CE3"/>
    <w:rsid w:val="006822E2"/>
    <w:rsid w:val="00686B6F"/>
    <w:rsid w:val="006A03EF"/>
    <w:rsid w:val="006A28A7"/>
    <w:rsid w:val="006B3276"/>
    <w:rsid w:val="006C32FB"/>
    <w:rsid w:val="006C68FF"/>
    <w:rsid w:val="006D0C1F"/>
    <w:rsid w:val="006D2FB4"/>
    <w:rsid w:val="007011CE"/>
    <w:rsid w:val="0070518E"/>
    <w:rsid w:val="007157A6"/>
    <w:rsid w:val="0072441C"/>
    <w:rsid w:val="00737C03"/>
    <w:rsid w:val="00775058"/>
    <w:rsid w:val="00775ABD"/>
    <w:rsid w:val="00776B7A"/>
    <w:rsid w:val="00776E54"/>
    <w:rsid w:val="007821B3"/>
    <w:rsid w:val="00783624"/>
    <w:rsid w:val="007847F0"/>
    <w:rsid w:val="00794E0C"/>
    <w:rsid w:val="007973C3"/>
    <w:rsid w:val="007B054F"/>
    <w:rsid w:val="007B3D19"/>
    <w:rsid w:val="007D00B3"/>
    <w:rsid w:val="007D7D19"/>
    <w:rsid w:val="007E0547"/>
    <w:rsid w:val="007E41A8"/>
    <w:rsid w:val="007E448B"/>
    <w:rsid w:val="007F5940"/>
    <w:rsid w:val="00802F9A"/>
    <w:rsid w:val="0080482A"/>
    <w:rsid w:val="00805200"/>
    <w:rsid w:val="00807AFC"/>
    <w:rsid w:val="0081734F"/>
    <w:rsid w:val="00817794"/>
    <w:rsid w:val="00821D97"/>
    <w:rsid w:val="008342B2"/>
    <w:rsid w:val="008347C9"/>
    <w:rsid w:val="00840318"/>
    <w:rsid w:val="00850425"/>
    <w:rsid w:val="00857C3B"/>
    <w:rsid w:val="00861BC0"/>
    <w:rsid w:val="00862469"/>
    <w:rsid w:val="008663A4"/>
    <w:rsid w:val="00867C29"/>
    <w:rsid w:val="008753D9"/>
    <w:rsid w:val="00875CC1"/>
    <w:rsid w:val="00881733"/>
    <w:rsid w:val="00881F99"/>
    <w:rsid w:val="00883A8F"/>
    <w:rsid w:val="008921EB"/>
    <w:rsid w:val="0089359B"/>
    <w:rsid w:val="0089423C"/>
    <w:rsid w:val="008942A0"/>
    <w:rsid w:val="008A4046"/>
    <w:rsid w:val="008A4C1F"/>
    <w:rsid w:val="008A56E8"/>
    <w:rsid w:val="008A629E"/>
    <w:rsid w:val="008A7D3D"/>
    <w:rsid w:val="008B31D4"/>
    <w:rsid w:val="008D24A9"/>
    <w:rsid w:val="008D3594"/>
    <w:rsid w:val="008D73C8"/>
    <w:rsid w:val="008E1A49"/>
    <w:rsid w:val="008E7287"/>
    <w:rsid w:val="008F7868"/>
    <w:rsid w:val="009046DE"/>
    <w:rsid w:val="009047ED"/>
    <w:rsid w:val="00905E3A"/>
    <w:rsid w:val="00906474"/>
    <w:rsid w:val="00911D35"/>
    <w:rsid w:val="00912AC2"/>
    <w:rsid w:val="009149F1"/>
    <w:rsid w:val="00914C1C"/>
    <w:rsid w:val="00917845"/>
    <w:rsid w:val="00933CBE"/>
    <w:rsid w:val="00934FB3"/>
    <w:rsid w:val="009454DB"/>
    <w:rsid w:val="00960DB7"/>
    <w:rsid w:val="00962018"/>
    <w:rsid w:val="00977829"/>
    <w:rsid w:val="00981F33"/>
    <w:rsid w:val="00982440"/>
    <w:rsid w:val="00986AA8"/>
    <w:rsid w:val="00996681"/>
    <w:rsid w:val="00997CA1"/>
    <w:rsid w:val="009A4AC5"/>
    <w:rsid w:val="009B454D"/>
    <w:rsid w:val="009C1D99"/>
    <w:rsid w:val="009C3473"/>
    <w:rsid w:val="009D4A1F"/>
    <w:rsid w:val="009E52BD"/>
    <w:rsid w:val="009F7A7F"/>
    <w:rsid w:val="00A03D4B"/>
    <w:rsid w:val="00A2121B"/>
    <w:rsid w:val="00A304BF"/>
    <w:rsid w:val="00A310AE"/>
    <w:rsid w:val="00A32272"/>
    <w:rsid w:val="00A4263C"/>
    <w:rsid w:val="00A46F12"/>
    <w:rsid w:val="00A5023C"/>
    <w:rsid w:val="00A61502"/>
    <w:rsid w:val="00A65A6F"/>
    <w:rsid w:val="00A67AE7"/>
    <w:rsid w:val="00A7156F"/>
    <w:rsid w:val="00A7746D"/>
    <w:rsid w:val="00A80F69"/>
    <w:rsid w:val="00A844B5"/>
    <w:rsid w:val="00AA07B8"/>
    <w:rsid w:val="00AC77C3"/>
    <w:rsid w:val="00AD567B"/>
    <w:rsid w:val="00AE06AA"/>
    <w:rsid w:val="00AE709B"/>
    <w:rsid w:val="00B01BEF"/>
    <w:rsid w:val="00B0266B"/>
    <w:rsid w:val="00B0362E"/>
    <w:rsid w:val="00B04612"/>
    <w:rsid w:val="00B0625B"/>
    <w:rsid w:val="00B113EF"/>
    <w:rsid w:val="00B1164E"/>
    <w:rsid w:val="00B20BBD"/>
    <w:rsid w:val="00B20FF6"/>
    <w:rsid w:val="00B449F7"/>
    <w:rsid w:val="00B734AA"/>
    <w:rsid w:val="00B80A18"/>
    <w:rsid w:val="00B8101A"/>
    <w:rsid w:val="00B85591"/>
    <w:rsid w:val="00BB5D11"/>
    <w:rsid w:val="00BD25AB"/>
    <w:rsid w:val="00BD4617"/>
    <w:rsid w:val="00BE1580"/>
    <w:rsid w:val="00BE4BC8"/>
    <w:rsid w:val="00BE5C2D"/>
    <w:rsid w:val="00BF2100"/>
    <w:rsid w:val="00C05012"/>
    <w:rsid w:val="00C12E8E"/>
    <w:rsid w:val="00C168DB"/>
    <w:rsid w:val="00C2221D"/>
    <w:rsid w:val="00C31577"/>
    <w:rsid w:val="00C436B7"/>
    <w:rsid w:val="00C43F6C"/>
    <w:rsid w:val="00C60B64"/>
    <w:rsid w:val="00CA4627"/>
    <w:rsid w:val="00CA5DBB"/>
    <w:rsid w:val="00CB4A6D"/>
    <w:rsid w:val="00CC419B"/>
    <w:rsid w:val="00CC6660"/>
    <w:rsid w:val="00CD0F90"/>
    <w:rsid w:val="00D01FED"/>
    <w:rsid w:val="00D055EB"/>
    <w:rsid w:val="00D16301"/>
    <w:rsid w:val="00D16B42"/>
    <w:rsid w:val="00D21359"/>
    <w:rsid w:val="00D33936"/>
    <w:rsid w:val="00D53FA7"/>
    <w:rsid w:val="00D55083"/>
    <w:rsid w:val="00D64144"/>
    <w:rsid w:val="00D75E90"/>
    <w:rsid w:val="00D836FC"/>
    <w:rsid w:val="00D86DAD"/>
    <w:rsid w:val="00D94847"/>
    <w:rsid w:val="00DB49ED"/>
    <w:rsid w:val="00DB50BD"/>
    <w:rsid w:val="00DC1238"/>
    <w:rsid w:val="00DD11C7"/>
    <w:rsid w:val="00DD43BD"/>
    <w:rsid w:val="00DD4ADD"/>
    <w:rsid w:val="00DE1399"/>
    <w:rsid w:val="00DF3946"/>
    <w:rsid w:val="00DF468D"/>
    <w:rsid w:val="00DF627B"/>
    <w:rsid w:val="00E00439"/>
    <w:rsid w:val="00E07420"/>
    <w:rsid w:val="00E17232"/>
    <w:rsid w:val="00E23C42"/>
    <w:rsid w:val="00E26DFB"/>
    <w:rsid w:val="00E34C95"/>
    <w:rsid w:val="00E3535A"/>
    <w:rsid w:val="00E37A44"/>
    <w:rsid w:val="00E54570"/>
    <w:rsid w:val="00E54915"/>
    <w:rsid w:val="00E561B3"/>
    <w:rsid w:val="00E60E82"/>
    <w:rsid w:val="00E62825"/>
    <w:rsid w:val="00E675E8"/>
    <w:rsid w:val="00E767CA"/>
    <w:rsid w:val="00E833B6"/>
    <w:rsid w:val="00E97DFF"/>
    <w:rsid w:val="00EA4468"/>
    <w:rsid w:val="00EA4C38"/>
    <w:rsid w:val="00ED2B9D"/>
    <w:rsid w:val="00ED59B2"/>
    <w:rsid w:val="00ED6B4F"/>
    <w:rsid w:val="00EE790F"/>
    <w:rsid w:val="00F23933"/>
    <w:rsid w:val="00F303A3"/>
    <w:rsid w:val="00F5342D"/>
    <w:rsid w:val="00F966A1"/>
    <w:rsid w:val="00FB5078"/>
    <w:rsid w:val="00FD15CA"/>
    <w:rsid w:val="00FD6DED"/>
    <w:rsid w:val="00FE6C4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Spacing">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NormalWeb">
    <w:name w:val="Normal (Web)"/>
    <w:uiPriority w:val="99"/>
    <w:pPr>
      <w:spacing w:before="100" w:after="100"/>
    </w:pPr>
    <w:rPr>
      <w:rFonts w:cs="Arial Unicode MS"/>
      <w:color w:val="000000"/>
      <w:sz w:val="24"/>
      <w:szCs w:val="24"/>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cs="Arial Unicode MS"/>
      <w:color w:val="000000"/>
      <w:u w:color="00000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213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359"/>
    <w:rPr>
      <w:rFonts w:ascii="Segoe UI" w:hAnsi="Segoe UI" w:cs="Segoe UI"/>
      <w:color w:val="000000"/>
      <w:sz w:val="18"/>
      <w:szCs w:val="18"/>
      <w:u w:color="000000"/>
      <w:lang w:val="en-US"/>
    </w:rPr>
  </w:style>
  <w:style w:type="paragraph" w:styleId="Footer">
    <w:name w:val="footer"/>
    <w:basedOn w:val="Normal"/>
    <w:link w:val="FooterChar"/>
    <w:uiPriority w:val="99"/>
    <w:unhideWhenUsed/>
    <w:rsid w:val="008F7868"/>
    <w:pPr>
      <w:tabs>
        <w:tab w:val="center" w:pos="4680"/>
        <w:tab w:val="right" w:pos="9360"/>
      </w:tabs>
    </w:pPr>
  </w:style>
  <w:style w:type="character" w:customStyle="1" w:styleId="FooterChar">
    <w:name w:val="Footer Char"/>
    <w:basedOn w:val="DefaultParagraphFont"/>
    <w:link w:val="Footer"/>
    <w:uiPriority w:val="99"/>
    <w:rsid w:val="008F7868"/>
    <w:rPr>
      <w:rFonts w:cs="Arial Unicode MS"/>
      <w:color w:val="000000"/>
      <w:sz w:val="24"/>
      <w:szCs w:val="24"/>
      <w:u w:color="000000"/>
      <w:lang w:val="en-US"/>
    </w:rPr>
  </w:style>
  <w:style w:type="character" w:styleId="UnresolvedMention">
    <w:name w:val="Unresolved Mention"/>
    <w:basedOn w:val="DefaultParagraphFont"/>
    <w:uiPriority w:val="99"/>
    <w:semiHidden/>
    <w:unhideWhenUsed/>
    <w:rsid w:val="0052480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17845"/>
    <w:rPr>
      <w:b/>
      <w:bCs/>
    </w:rPr>
  </w:style>
  <w:style w:type="character" w:customStyle="1" w:styleId="CommentSubjectChar">
    <w:name w:val="Comment Subject Char"/>
    <w:basedOn w:val="CommentTextChar"/>
    <w:link w:val="CommentSubject"/>
    <w:uiPriority w:val="99"/>
    <w:semiHidden/>
    <w:rsid w:val="00917845"/>
    <w:rPr>
      <w:rFonts w:cs="Arial Unicode MS"/>
      <w:b/>
      <w:bCs/>
      <w:color w:val="000000"/>
      <w:u w:color="000000"/>
      <w:lang w:val="en-US"/>
    </w:rPr>
  </w:style>
  <w:style w:type="paragraph" w:styleId="Revision">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Paragraph">
    <w:name w:val="List Paragraph"/>
    <w:basedOn w:val="Normal"/>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57393919">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835800924">
      <w:bodyDiv w:val="1"/>
      <w:marLeft w:val="0"/>
      <w:marRight w:val="0"/>
      <w:marTop w:val="0"/>
      <w:marBottom w:val="0"/>
      <w:divBdr>
        <w:top w:val="none" w:sz="0" w:space="0" w:color="auto"/>
        <w:left w:val="none" w:sz="0" w:space="0" w:color="auto"/>
        <w:bottom w:val="none" w:sz="0" w:space="0" w:color="auto"/>
        <w:right w:val="none" w:sz="0" w:space="0" w:color="auto"/>
      </w:divBdr>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cdentalcampus.com/en/the-6-th-international-dental-symposiu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093A7-C45F-423E-BA5C-72293E9F4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7ced3-6034-42ab-8086-73bcc9b2da3d"/>
    <ds:schemaRef ds:uri="fbc17045-f088-4e89-878a-d67d32a07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75a7ced3-6034-42ab-8086-73bcc9b2da3d"/>
    <ds:schemaRef ds:uri="fbc17045-f088-4e89-878a-d67d32a07470"/>
  </ds:schemaRefs>
</ds:datastoreItem>
</file>

<file path=customXml/itemProps3.xml><?xml version="1.0" encoding="utf-8"?>
<ds:datastoreItem xmlns:ds="http://schemas.openxmlformats.org/officeDocument/2006/customXml" ds:itemID="{7214B0A9-1349-473D-9F03-69A430A2D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1512</Words>
  <Characters>8622</Characters>
  <Application>Microsoft Office Word</Application>
  <DocSecurity>0</DocSecurity>
  <Lines>71</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Kuehne, Oliver</dc:creator>
  <cp:keywords/>
  <dc:description/>
  <cp:lastModifiedBy>Vanden Ecker, Sara</cp:lastModifiedBy>
  <cp:revision>5</cp:revision>
  <cp:lastPrinted>2020-01-21T15:04:00Z</cp:lastPrinted>
  <dcterms:created xsi:type="dcterms:W3CDTF">2026-08-26T11:31:00Z</dcterms:created>
  <dcterms:modified xsi:type="dcterms:W3CDTF">2026-08-26T11:34:00Z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